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06E" w:rsidRDefault="00B7213D" w:rsidP="00FB2303">
      <w:pPr>
        <w:pStyle w:val="Header"/>
        <w:tabs>
          <w:tab w:val="right" w:pos="9900"/>
          <w:tab w:val="right" w:pos="10206"/>
        </w:tabs>
        <w:jc w:val="both"/>
        <w:rPr>
          <w:rFonts w:cs="Arial"/>
          <w:i/>
          <w:sz w:val="24"/>
        </w:rPr>
      </w:pPr>
      <w:r>
        <w:rPr>
          <w:rFonts w:cs="Arial"/>
          <w:sz w:val="24"/>
        </w:rPr>
        <w:t xml:space="preserve">3GPP </w:t>
      </w:r>
      <w:r w:rsidR="0099206E">
        <w:rPr>
          <w:rFonts w:cs="Arial"/>
          <w:sz w:val="24"/>
        </w:rPr>
        <w:t xml:space="preserve">TSG-RAN WG4 </w:t>
      </w:r>
      <w:r>
        <w:rPr>
          <w:rFonts w:cs="Arial"/>
          <w:sz w:val="24"/>
        </w:rPr>
        <w:t>M</w:t>
      </w:r>
      <w:r w:rsidR="0099206E">
        <w:rPr>
          <w:rFonts w:cs="Arial"/>
          <w:sz w:val="24"/>
        </w:rPr>
        <w:t>eeting #</w:t>
      </w:r>
      <w:r w:rsidR="00ED2787">
        <w:rPr>
          <w:rFonts w:cs="Arial"/>
          <w:sz w:val="24"/>
        </w:rPr>
        <w:t>7</w:t>
      </w:r>
      <w:r w:rsidR="004217DF">
        <w:rPr>
          <w:rFonts w:cs="Arial"/>
          <w:sz w:val="24"/>
        </w:rPr>
        <w:t>6</w:t>
      </w:r>
      <w:r w:rsidR="0099206E">
        <w:rPr>
          <w:rFonts w:cs="Arial"/>
          <w:i/>
          <w:sz w:val="24"/>
        </w:rPr>
        <w:tab/>
      </w:r>
      <w:r w:rsidR="00C62060">
        <w:rPr>
          <w:rFonts w:cs="Arial"/>
          <w:iCs/>
          <w:sz w:val="24"/>
        </w:rPr>
        <w:t>R4-</w:t>
      </w:r>
      <w:r w:rsidR="00C62060">
        <w:rPr>
          <w:rFonts w:cs="Arial" w:hint="eastAsia"/>
          <w:iCs/>
          <w:sz w:val="24"/>
        </w:rPr>
        <w:t>1</w:t>
      </w:r>
      <w:r w:rsidR="00563EF0">
        <w:rPr>
          <w:rFonts w:cs="Arial"/>
          <w:iCs/>
          <w:sz w:val="24"/>
        </w:rPr>
        <w:t>5</w:t>
      </w:r>
      <w:r w:rsidR="008B2E04">
        <w:rPr>
          <w:rFonts w:cs="Arial"/>
          <w:iCs/>
          <w:sz w:val="24"/>
        </w:rPr>
        <w:t>4105</w:t>
      </w:r>
    </w:p>
    <w:p w:rsidR="004275EF" w:rsidRPr="004217DF" w:rsidRDefault="004217DF" w:rsidP="00FB2303">
      <w:pPr>
        <w:pStyle w:val="Header"/>
        <w:tabs>
          <w:tab w:val="right" w:pos="10206"/>
        </w:tabs>
        <w:spacing w:after="120"/>
        <w:jc w:val="both"/>
        <w:rPr>
          <w:rFonts w:cs="Arial"/>
          <w:sz w:val="24"/>
        </w:rPr>
      </w:pPr>
      <w:r w:rsidRPr="004217DF">
        <w:rPr>
          <w:rFonts w:eastAsia="SimSun"/>
          <w:sz w:val="24"/>
          <w:szCs w:val="24"/>
          <w:lang w:eastAsia="zh-CN"/>
        </w:rPr>
        <w:t>Beijing, China</w:t>
      </w:r>
      <w:r w:rsidRPr="004217DF">
        <w:rPr>
          <w:rFonts w:eastAsia="SimSun"/>
          <w:sz w:val="24"/>
          <w:szCs w:val="24"/>
          <w:lang w:val="pt-BR" w:eastAsia="zh-CN"/>
        </w:rPr>
        <w:t>,</w:t>
      </w:r>
      <w:r w:rsidRPr="004217DF">
        <w:rPr>
          <w:sz w:val="24"/>
          <w:szCs w:val="24"/>
          <w:lang w:val="pt-BR"/>
        </w:rPr>
        <w:t xml:space="preserve"> </w:t>
      </w:r>
      <w:r w:rsidRPr="004217DF">
        <w:rPr>
          <w:sz w:val="24"/>
          <w:szCs w:val="24"/>
        </w:rPr>
        <w:t xml:space="preserve">24 </w:t>
      </w:r>
      <w:r w:rsidRPr="004217DF">
        <w:rPr>
          <w:rFonts w:eastAsia="SimSun"/>
          <w:sz w:val="24"/>
          <w:szCs w:val="24"/>
          <w:lang w:eastAsia="zh-CN"/>
        </w:rPr>
        <w:t>– 28</w:t>
      </w:r>
      <w:r w:rsidRPr="004217DF">
        <w:rPr>
          <w:sz w:val="24"/>
          <w:szCs w:val="24"/>
        </w:rPr>
        <w:t xml:space="preserve"> </w:t>
      </w:r>
      <w:r w:rsidRPr="004217DF">
        <w:rPr>
          <w:rFonts w:eastAsia="SimSun"/>
          <w:sz w:val="24"/>
          <w:szCs w:val="24"/>
          <w:lang w:eastAsia="zh-CN"/>
        </w:rPr>
        <w:t>Aug</w:t>
      </w:r>
      <w:r w:rsidRPr="004217DF">
        <w:rPr>
          <w:sz w:val="24"/>
          <w:szCs w:val="24"/>
        </w:rPr>
        <w:t>, 2015</w:t>
      </w:r>
    </w:p>
    <w:p w:rsidR="0099206E" w:rsidRPr="00BF1B44" w:rsidRDefault="0099206E" w:rsidP="00FB2303">
      <w:pPr>
        <w:spacing w:after="120"/>
        <w:ind w:left="1985" w:hanging="1985"/>
        <w:jc w:val="both"/>
        <w:rPr>
          <w:rFonts w:ascii="Arial" w:hAnsi="Arial" w:cs="Arial"/>
          <w:b/>
        </w:rPr>
      </w:pPr>
    </w:p>
    <w:p w:rsidR="0099206E" w:rsidRPr="000171ED" w:rsidRDefault="0099206E" w:rsidP="00FB2303">
      <w:pPr>
        <w:spacing w:after="120"/>
        <w:ind w:left="1985" w:hanging="1985"/>
        <w:jc w:val="both"/>
        <w:rPr>
          <w:rFonts w:ascii="Arial" w:hAnsi="Arial" w:cs="Arial"/>
          <w:bCs/>
        </w:rPr>
      </w:pPr>
      <w:r>
        <w:rPr>
          <w:rFonts w:ascii="Arial" w:hAnsi="Arial" w:cs="Arial"/>
          <w:b/>
        </w:rPr>
        <w:t>Sour</w:t>
      </w:r>
      <w:r w:rsidRPr="00C62060">
        <w:rPr>
          <w:rFonts w:ascii="Arial" w:hAnsi="Arial" w:cs="Arial"/>
          <w:b/>
        </w:rPr>
        <w:t>ce:</w:t>
      </w:r>
      <w:r w:rsidRPr="00C62060">
        <w:rPr>
          <w:rFonts w:ascii="Arial" w:hAnsi="Arial" w:cs="Arial"/>
          <w:b/>
        </w:rPr>
        <w:tab/>
      </w:r>
      <w:r w:rsidR="000171ED" w:rsidRPr="000171ED">
        <w:rPr>
          <w:rFonts w:ascii="Arial" w:hAnsi="Arial" w:cs="Arial"/>
        </w:rPr>
        <w:t>Nokia Networks</w:t>
      </w:r>
    </w:p>
    <w:p w:rsidR="0099206E" w:rsidRPr="00AF2486" w:rsidRDefault="0099206E" w:rsidP="00FB2303">
      <w:pPr>
        <w:spacing w:after="120"/>
        <w:ind w:left="1985" w:hanging="1985"/>
        <w:jc w:val="both"/>
        <w:rPr>
          <w:rFonts w:ascii="Arial" w:hAnsi="Arial" w:cs="Arial"/>
          <w:bCs/>
        </w:rPr>
      </w:pPr>
      <w:r w:rsidRPr="00C62060">
        <w:rPr>
          <w:rFonts w:ascii="Arial" w:hAnsi="Arial" w:cs="Arial"/>
          <w:b/>
        </w:rPr>
        <w:t>Title:</w:t>
      </w:r>
      <w:r w:rsidRPr="00C62060">
        <w:rPr>
          <w:rFonts w:ascii="Arial" w:hAnsi="Arial" w:cs="Arial"/>
          <w:b/>
        </w:rPr>
        <w:tab/>
      </w:r>
      <w:r w:rsidR="00AF2486">
        <w:rPr>
          <w:rFonts w:ascii="Arial" w:hAnsi="Arial" w:cs="Arial"/>
        </w:rPr>
        <w:t>Analysis on LL simulation results for BS-IRC performance</w:t>
      </w:r>
    </w:p>
    <w:p w:rsidR="0099206E" w:rsidRPr="00C62060" w:rsidRDefault="0099206E" w:rsidP="00FB2303">
      <w:pPr>
        <w:spacing w:after="120"/>
        <w:ind w:left="1985" w:hanging="1985"/>
        <w:jc w:val="both"/>
        <w:rPr>
          <w:rFonts w:ascii="Arial" w:hAnsi="Arial" w:cs="Arial"/>
          <w:bCs/>
        </w:rPr>
      </w:pPr>
      <w:r w:rsidRPr="00C62060">
        <w:rPr>
          <w:rFonts w:ascii="Arial" w:hAnsi="Arial" w:cs="Arial"/>
          <w:b/>
        </w:rPr>
        <w:t>Agenda item:</w:t>
      </w:r>
      <w:r w:rsidRPr="00C62060">
        <w:rPr>
          <w:rFonts w:ascii="Arial" w:hAnsi="Arial" w:cs="Arial"/>
          <w:b/>
        </w:rPr>
        <w:tab/>
      </w:r>
      <w:r w:rsidR="002D6281" w:rsidRPr="0025066F">
        <w:rPr>
          <w:rFonts w:ascii="Arial" w:hAnsi="Arial" w:cs="Arial"/>
        </w:rPr>
        <w:t>7</w:t>
      </w:r>
      <w:r w:rsidR="005275CA" w:rsidRPr="0025066F">
        <w:rPr>
          <w:rFonts w:ascii="Arial" w:hAnsi="Arial" w:cs="Arial"/>
        </w:rPr>
        <w:t>.</w:t>
      </w:r>
      <w:r w:rsidR="0025066F" w:rsidRPr="0025066F">
        <w:rPr>
          <w:rFonts w:ascii="Arial" w:hAnsi="Arial" w:cs="Arial"/>
        </w:rPr>
        <w:t>6</w:t>
      </w:r>
      <w:r w:rsidR="00F06AAC">
        <w:rPr>
          <w:rFonts w:ascii="Arial" w:hAnsi="Arial" w:cs="Arial"/>
        </w:rPr>
        <w:t>.</w:t>
      </w:r>
      <w:r w:rsidR="004217DF">
        <w:rPr>
          <w:rFonts w:ascii="Arial" w:hAnsi="Arial" w:cs="Arial"/>
        </w:rPr>
        <w:t>3</w:t>
      </w:r>
    </w:p>
    <w:p w:rsidR="0099206E" w:rsidRDefault="0099206E" w:rsidP="00FB2303">
      <w:pPr>
        <w:spacing w:after="120"/>
        <w:ind w:left="1985" w:hanging="1985"/>
        <w:jc w:val="both"/>
        <w:rPr>
          <w:rFonts w:ascii="Arial" w:hAnsi="Arial" w:cs="Arial"/>
          <w:bCs/>
        </w:rPr>
      </w:pPr>
      <w:r w:rsidRPr="00C62060">
        <w:rPr>
          <w:rFonts w:ascii="Arial" w:hAnsi="Arial" w:cs="Arial"/>
          <w:b/>
        </w:rPr>
        <w:t>Document for:</w:t>
      </w:r>
      <w:r w:rsidRPr="00C62060">
        <w:rPr>
          <w:rFonts w:ascii="Arial" w:hAnsi="Arial" w:cs="Arial"/>
          <w:b/>
        </w:rPr>
        <w:tab/>
      </w:r>
      <w:r w:rsidR="00E541DB">
        <w:rPr>
          <w:rFonts w:ascii="Arial" w:hAnsi="Arial" w:cs="Arial"/>
          <w:bCs/>
        </w:rPr>
        <w:t>Discussion</w:t>
      </w:r>
    </w:p>
    <w:p w:rsidR="00051024" w:rsidRDefault="00051024" w:rsidP="00FB2303">
      <w:pPr>
        <w:jc w:val="both"/>
        <w:rPr>
          <w:kern w:val="2"/>
        </w:rPr>
      </w:pPr>
    </w:p>
    <w:p w:rsidR="00337E10" w:rsidRDefault="00337E10" w:rsidP="00FB2303">
      <w:pPr>
        <w:pStyle w:val="Heading3"/>
        <w:jc w:val="both"/>
        <w:rPr>
          <w:kern w:val="2"/>
          <w:lang w:val="en-US"/>
        </w:rPr>
      </w:pPr>
      <w:r>
        <w:rPr>
          <w:rFonts w:hint="eastAsia"/>
          <w:kern w:val="2"/>
          <w:lang w:val="en-US"/>
        </w:rPr>
        <w:t>1</w:t>
      </w:r>
      <w:r>
        <w:rPr>
          <w:kern w:val="2"/>
          <w:lang w:val="en-US"/>
        </w:rPr>
        <w:tab/>
      </w:r>
      <w:r w:rsidRPr="00C62060">
        <w:rPr>
          <w:rFonts w:hint="eastAsia"/>
          <w:kern w:val="2"/>
          <w:lang w:val="en-US"/>
        </w:rPr>
        <w:t>Introduction</w:t>
      </w:r>
    </w:p>
    <w:p w:rsidR="00782977" w:rsidRDefault="00EA50D1" w:rsidP="00FB2303">
      <w:pPr>
        <w:jc w:val="both"/>
        <w:rPr>
          <w:lang w:val="en-US"/>
        </w:rPr>
      </w:pPr>
      <w:r>
        <w:rPr>
          <w:lang w:val="en-US"/>
        </w:rPr>
        <w:t xml:space="preserve">The UL MMSE-IRC </w:t>
      </w:r>
      <w:r w:rsidR="004777FD">
        <w:rPr>
          <w:lang w:val="en-US"/>
        </w:rPr>
        <w:t xml:space="preserve">WI </w:t>
      </w:r>
      <w:r>
        <w:rPr>
          <w:lang w:val="en-US"/>
        </w:rPr>
        <w:t xml:space="preserve">[1] has reached the stage to evaluate IRC performance through link level simulation.  </w:t>
      </w:r>
      <w:r w:rsidR="004217DF">
        <w:rPr>
          <w:lang w:val="en-US"/>
        </w:rPr>
        <w:t>The link level simulation assumptions are agreed in last RAN4 meeting [2]</w:t>
      </w:r>
      <w:r w:rsidR="003E12D1">
        <w:rPr>
          <w:lang w:val="en-US"/>
        </w:rPr>
        <w:t xml:space="preserve">.  </w:t>
      </w:r>
      <w:r>
        <w:rPr>
          <w:lang w:val="en-US"/>
        </w:rPr>
        <w:t>We have provided simulation results [3] based on the</w:t>
      </w:r>
      <w:r w:rsidR="004777FD">
        <w:rPr>
          <w:lang w:val="en-US"/>
        </w:rPr>
        <w:t xml:space="preserve"> 12</w:t>
      </w:r>
      <w:r>
        <w:rPr>
          <w:lang w:val="en-US"/>
        </w:rPr>
        <w:t xml:space="preserve"> test cases.</w:t>
      </w:r>
    </w:p>
    <w:p w:rsidR="00EA50D1" w:rsidRDefault="00EA50D1" w:rsidP="00FB2303">
      <w:pPr>
        <w:jc w:val="both"/>
        <w:rPr>
          <w:lang w:val="en-US"/>
        </w:rPr>
      </w:pPr>
      <w:r>
        <w:rPr>
          <w:lang w:val="en-US"/>
        </w:rPr>
        <w:t>This contribution provides some analysis based on our simulation results.  Some insights on potential system level gain are provided.  Theoretical maximum IRC gains are calculated based on the two agreed DIP profiles.  We also provide our view on potential impact on channel estimation with some link-level simulation results.</w:t>
      </w:r>
    </w:p>
    <w:p w:rsidR="00FB2303" w:rsidRDefault="00FB2303" w:rsidP="00FB2303">
      <w:pPr>
        <w:jc w:val="both"/>
        <w:rPr>
          <w:lang w:val="en-US"/>
        </w:rPr>
      </w:pPr>
    </w:p>
    <w:p w:rsidR="009252ED" w:rsidRDefault="009252ED" w:rsidP="00FB2303">
      <w:pPr>
        <w:pStyle w:val="Heading3"/>
        <w:jc w:val="both"/>
        <w:rPr>
          <w:kern w:val="2"/>
          <w:lang w:val="en-US"/>
        </w:rPr>
      </w:pPr>
      <w:r>
        <w:rPr>
          <w:kern w:val="2"/>
          <w:lang w:val="en-US"/>
        </w:rPr>
        <w:t>2</w:t>
      </w:r>
      <w:r>
        <w:rPr>
          <w:kern w:val="2"/>
          <w:lang w:val="en-US"/>
        </w:rPr>
        <w:tab/>
        <w:t>Analysis on link level simulations</w:t>
      </w:r>
    </w:p>
    <w:p w:rsidR="009252ED" w:rsidRDefault="009252ED" w:rsidP="00FB2303">
      <w:pPr>
        <w:pStyle w:val="Heading4"/>
        <w:jc w:val="both"/>
        <w:rPr>
          <w:kern w:val="2"/>
          <w:lang w:val="en-US"/>
        </w:rPr>
      </w:pPr>
      <w:r>
        <w:rPr>
          <w:kern w:val="2"/>
          <w:lang w:val="en-US"/>
        </w:rPr>
        <w:t>2.1</w:t>
      </w:r>
      <w:r>
        <w:rPr>
          <w:kern w:val="2"/>
          <w:lang w:val="en-US"/>
        </w:rPr>
        <w:tab/>
        <w:t>Potential system level gain of IRC</w:t>
      </w:r>
    </w:p>
    <w:p w:rsidR="005E310B" w:rsidRDefault="009252ED" w:rsidP="00FB2303">
      <w:pPr>
        <w:jc w:val="both"/>
        <w:rPr>
          <w:lang w:val="en-US"/>
        </w:rPr>
      </w:pPr>
      <w:r>
        <w:rPr>
          <w:lang w:val="en-US"/>
        </w:rPr>
        <w:t xml:space="preserve">The UL MMSE-IRC WI, as defined in [1], </w:t>
      </w:r>
      <w:r w:rsidR="00E61132">
        <w:rPr>
          <w:lang w:val="en-US"/>
        </w:rPr>
        <w:t xml:space="preserve">will not study system level gain for UL IRC, </w:t>
      </w:r>
      <w:r>
        <w:rPr>
          <w:lang w:val="en-US"/>
        </w:rPr>
        <w:t xml:space="preserve">although system-level gain is </w:t>
      </w:r>
      <w:r w:rsidR="00AA5323">
        <w:rPr>
          <w:lang w:val="en-US"/>
        </w:rPr>
        <w:t xml:space="preserve">generally assumed </w:t>
      </w:r>
      <w:r>
        <w:rPr>
          <w:lang w:val="en-US"/>
        </w:rPr>
        <w:t xml:space="preserve">for IRC, due to the capability of mitigating inter-cell UL interference.  </w:t>
      </w:r>
      <w:r w:rsidR="005E310B">
        <w:rPr>
          <w:lang w:val="en-US"/>
        </w:rPr>
        <w:t>It is still beneficial to provide some analysis based on the system-level simulation campaign for DIP profiles.</w:t>
      </w:r>
    </w:p>
    <w:p w:rsidR="005E310B" w:rsidRDefault="005E310B" w:rsidP="00FB2303">
      <w:pPr>
        <w:jc w:val="both"/>
        <w:rPr>
          <w:lang w:val="en-US"/>
        </w:rPr>
      </w:pPr>
      <w:r>
        <w:rPr>
          <w:lang w:val="en-US"/>
        </w:rPr>
        <w:t>The selection of DIP profiles can be illustrated in the DIP profiles as shown in</w:t>
      </w:r>
      <w:r w:rsidR="00E61132">
        <w:rPr>
          <w:lang w:val="en-US"/>
        </w:rPr>
        <w:t xml:space="preserve"> </w:t>
      </w:r>
      <w:fldSimple w:instr=" REF _Ref426454861 \h  \* MERGEFORMAT ">
        <w:r w:rsidR="00E61132">
          <w:t xml:space="preserve">Figure </w:t>
        </w:r>
        <w:r w:rsidR="00E61132">
          <w:rPr>
            <w:noProof/>
          </w:rPr>
          <w:t>1</w:t>
        </w:r>
      </w:fldSimple>
      <w:r>
        <w:rPr>
          <w:lang w:val="en-US"/>
        </w:rPr>
        <w:t xml:space="preserve">.  The selected DIP profile, as illustrated </w:t>
      </w:r>
      <w:r w:rsidR="00E61132">
        <w:rPr>
          <w:lang w:val="en-US"/>
        </w:rPr>
        <w:t xml:space="preserve">in red color </w:t>
      </w:r>
      <w:r>
        <w:rPr>
          <w:lang w:val="en-US"/>
        </w:rPr>
        <w:t>in the figure, is considered a “typical”</w:t>
      </w:r>
      <w:r w:rsidR="00E61132">
        <w:rPr>
          <w:lang w:val="en-US"/>
        </w:rPr>
        <w:t xml:space="preserve"> UE DIP profile.  The DIP profiles are (-1.11dB, -10.91dB)</w:t>
      </w:r>
      <w:r w:rsidR="00AA5323">
        <w:rPr>
          <w:lang w:val="en-US"/>
        </w:rPr>
        <w:t xml:space="preserve"> for DIP1 and DIP2, respectively</w:t>
      </w:r>
      <w:r w:rsidR="00E61132">
        <w:rPr>
          <w:lang w:val="en-US"/>
        </w:rPr>
        <w:t>, and the SINR level is -2.8dB, which is obta</w:t>
      </w:r>
      <w:r w:rsidR="004F4980">
        <w:rPr>
          <w:lang w:val="en-US"/>
        </w:rPr>
        <w:t xml:space="preserve">ined from our </w:t>
      </w:r>
      <w:r w:rsidR="00E61132">
        <w:rPr>
          <w:lang w:val="en-US"/>
        </w:rPr>
        <w:t>link level simulation [3].</w:t>
      </w:r>
    </w:p>
    <w:p w:rsidR="009252ED" w:rsidRDefault="00587527" w:rsidP="00FB2303">
      <w:pPr>
        <w:jc w:val="both"/>
        <w:rPr>
          <w:lang w:val="en-US"/>
        </w:rPr>
      </w:pPr>
      <w:r>
        <w:rPr>
          <w:noProof/>
          <w:lang w:val="en-US" w:eastAsia="zh-CN"/>
        </w:rPr>
        <w:drawing>
          <wp:inline distT="0" distB="0" distL="0" distR="0">
            <wp:extent cx="3054985" cy="22860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srcRect/>
                    <a:stretch>
                      <a:fillRect/>
                    </a:stretch>
                  </pic:blipFill>
                  <pic:spPr bwMode="auto">
                    <a:xfrm>
                      <a:off x="0" y="0"/>
                      <a:ext cx="3054985" cy="2286000"/>
                    </a:xfrm>
                    <a:prstGeom prst="rect">
                      <a:avLst/>
                    </a:prstGeom>
                    <a:noFill/>
                    <a:ln w="9525">
                      <a:noFill/>
                      <a:miter lim="800000"/>
                      <a:headEnd/>
                      <a:tailEnd/>
                    </a:ln>
                  </pic:spPr>
                </pic:pic>
              </a:graphicData>
            </a:graphic>
          </wp:inline>
        </w:drawing>
      </w:r>
      <w:r w:rsidR="005E310B">
        <w:rPr>
          <w:lang w:val="en-US"/>
        </w:rPr>
        <w:t xml:space="preserve"> </w:t>
      </w:r>
      <w:r>
        <w:rPr>
          <w:noProof/>
          <w:lang w:val="en-US" w:eastAsia="zh-CN"/>
        </w:rPr>
        <w:drawing>
          <wp:inline distT="0" distB="0" distL="0" distR="0">
            <wp:extent cx="3082925" cy="2286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srcRect/>
                    <a:stretch>
                      <a:fillRect/>
                    </a:stretch>
                  </pic:blipFill>
                  <pic:spPr bwMode="auto">
                    <a:xfrm>
                      <a:off x="0" y="0"/>
                      <a:ext cx="3082925" cy="2286000"/>
                    </a:xfrm>
                    <a:prstGeom prst="rect">
                      <a:avLst/>
                    </a:prstGeom>
                    <a:noFill/>
                    <a:ln w="9525">
                      <a:noFill/>
                      <a:miter lim="800000"/>
                      <a:headEnd/>
                      <a:tailEnd/>
                    </a:ln>
                  </pic:spPr>
                </pic:pic>
              </a:graphicData>
            </a:graphic>
          </wp:inline>
        </w:drawing>
      </w:r>
    </w:p>
    <w:p w:rsidR="00E61132" w:rsidRPr="00E61132" w:rsidRDefault="00E61132" w:rsidP="00FB2303">
      <w:pPr>
        <w:pStyle w:val="Caption"/>
        <w:jc w:val="center"/>
        <w:rPr>
          <w:b w:val="0"/>
        </w:rPr>
      </w:pPr>
      <w:bookmarkStart w:id="0" w:name="_Ref426454861"/>
      <w:r>
        <w:t xml:space="preserve">Figure </w:t>
      </w:r>
      <w:fldSimple w:instr=" SEQ Figure \* ARABIC ">
        <w:r>
          <w:rPr>
            <w:noProof/>
          </w:rPr>
          <w:t>1</w:t>
        </w:r>
      </w:fldSimple>
      <w:bookmarkEnd w:id="0"/>
      <w:r>
        <w:tab/>
      </w:r>
      <w:r w:rsidR="002F4B1A">
        <w:tab/>
      </w:r>
      <w:r>
        <w:rPr>
          <w:b w:val="0"/>
        </w:rPr>
        <w:t>DIP and SINR profiles of system level UE</w:t>
      </w:r>
    </w:p>
    <w:p w:rsidR="004F4980" w:rsidRDefault="00E61132" w:rsidP="00FB2303">
      <w:pPr>
        <w:jc w:val="both"/>
        <w:rPr>
          <w:lang w:val="en-US"/>
        </w:rPr>
      </w:pPr>
      <w:r>
        <w:rPr>
          <w:lang w:val="en-US"/>
        </w:rPr>
        <w:t>Based on our simulation results [3], there is 2.6dB gain for MCS-6</w:t>
      </w:r>
      <w:r w:rsidR="004F4980">
        <w:rPr>
          <w:lang w:val="en-US"/>
        </w:rPr>
        <w:t xml:space="preserve"> at the DIP point shown in the figure</w:t>
      </w:r>
      <w:r>
        <w:rPr>
          <w:lang w:val="en-US"/>
        </w:rPr>
        <w:t xml:space="preserve">.  This gain will certainly boost link level performance for the specific UE.  However, </w:t>
      </w:r>
      <w:r w:rsidR="004F4980">
        <w:rPr>
          <w:lang w:val="en-US"/>
        </w:rPr>
        <w:t xml:space="preserve">the IRC gain should not be expected for other UEs, who might experience different DIP profiles.  As we don’t know for certain the potential IRC gain at the system level, we can expect some IRC gains for “cell-edge” UEs with low SINR but relatively higher DIP1.  </w:t>
      </w:r>
    </w:p>
    <w:p w:rsidR="00200FFD" w:rsidRPr="009252ED" w:rsidRDefault="00200FFD" w:rsidP="00FB2303">
      <w:pPr>
        <w:jc w:val="both"/>
        <w:rPr>
          <w:lang w:val="en-US"/>
        </w:rPr>
      </w:pPr>
    </w:p>
    <w:p w:rsidR="009252ED" w:rsidRDefault="009252ED" w:rsidP="00FB2303">
      <w:pPr>
        <w:pStyle w:val="Heading4"/>
        <w:jc w:val="both"/>
        <w:rPr>
          <w:kern w:val="2"/>
          <w:lang w:val="en-US"/>
        </w:rPr>
      </w:pPr>
      <w:r>
        <w:rPr>
          <w:kern w:val="2"/>
          <w:lang w:val="en-US"/>
        </w:rPr>
        <w:lastRenderedPageBreak/>
        <w:t>2.2</w:t>
      </w:r>
      <w:r>
        <w:rPr>
          <w:kern w:val="2"/>
          <w:lang w:val="en-US"/>
        </w:rPr>
        <w:tab/>
        <w:t>Maximum IRC gain under the given DIP</w:t>
      </w:r>
    </w:p>
    <w:p w:rsidR="005E310B" w:rsidRDefault="00587527" w:rsidP="00FB2303">
      <w:pPr>
        <w:jc w:val="both"/>
        <w:rPr>
          <w:lang w:val="en-US"/>
        </w:rPr>
      </w:pPr>
      <w:r>
        <w:rPr>
          <w:lang w:val="en-US"/>
        </w:rPr>
        <w:t>Two DIP profiles are defined to evaluate link-level gain for IRC.  Given the two DIP profiles, it is possible to calculate the maximum IRC gain.</w:t>
      </w:r>
    </w:p>
    <w:p w:rsidR="00587527" w:rsidRDefault="00587527" w:rsidP="00FB2303">
      <w:pPr>
        <w:jc w:val="both"/>
        <w:rPr>
          <w:lang w:val="en-US"/>
        </w:rPr>
      </w:pPr>
      <w:r>
        <w:rPr>
          <w:lang w:val="en-US"/>
        </w:rPr>
        <w:t xml:space="preserve">From SINR definition </w:t>
      </w:r>
      <w:proofErr w:type="gramStart"/>
      <w:r>
        <w:rPr>
          <w:lang w:val="en-US"/>
        </w:rPr>
        <w:t xml:space="preserve">as </w:t>
      </w:r>
      <m:oMath>
        <w:proofErr w:type="gramEnd"/>
        <m:r>
          <w:rPr>
            <w:rFonts w:ascii="Cambria Math" w:hAnsi="Cambria Math"/>
            <w:lang w:val="en-US"/>
          </w:rPr>
          <m:t>S=</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s</m:t>
                </m:r>
              </m:sub>
            </m:sSub>
          </m:num>
          <m:den>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oc</m:t>
                </m:r>
              </m:sub>
            </m:sSub>
          </m:den>
        </m:f>
      </m:oMath>
      <w:r w:rsidR="00E63919">
        <w:rPr>
          <w:lang w:val="en-US"/>
        </w:rPr>
        <w:t xml:space="preserve">, </w:t>
      </w:r>
      <w:r w:rsidR="00494BD7">
        <w:rPr>
          <w:lang w:val="en-US"/>
        </w:rPr>
        <w:t xml:space="preserve">with two DIP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1</m:t>
            </m:r>
          </m:sub>
        </m:sSub>
      </m:oMath>
      <w:r w:rsidR="00494BD7">
        <w:rPr>
          <w:lang w:val="en-US"/>
        </w:rPr>
        <w:t xml:space="preserve"> and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2</m:t>
            </m:r>
          </m:sub>
        </m:sSub>
      </m:oMath>
      <w:r w:rsidR="00494BD7">
        <w:rPr>
          <w:lang w:val="en-US"/>
        </w:rPr>
        <w:t xml:space="preserve">, the SNR after removing the two interferers becomes </w:t>
      </w:r>
    </w:p>
    <w:p w:rsidR="00494BD7" w:rsidRDefault="00494BD7" w:rsidP="00FB2303">
      <w:pPr>
        <w:jc w:val="both"/>
        <w:rPr>
          <w:lang w:val="en-US"/>
        </w:rPr>
      </w:pPr>
      <m:oMathPara>
        <m:oMath>
          <m:r>
            <w:rPr>
              <w:rFonts w:ascii="Cambria Math" w:hAnsi="Cambria Math"/>
              <w:lang w:eastAsia="zh-CN"/>
            </w:rPr>
            <m:t>γ=</m:t>
          </m:r>
          <m:f>
            <m:fPr>
              <m:ctrlPr>
                <w:rPr>
                  <w:rFonts w:ascii="Cambria Math" w:hAnsi="Cambria Math"/>
                  <w:i/>
                  <w:lang w:eastAsia="zh-CN"/>
                </w:rPr>
              </m:ctrlPr>
            </m:fPr>
            <m:num>
              <m:r>
                <w:rPr>
                  <w:rFonts w:ascii="Cambria Math" w:hAnsi="Cambria Math"/>
                  <w:lang w:eastAsia="zh-CN"/>
                </w:rPr>
                <m:t>S</m:t>
              </m:r>
            </m:num>
            <m:den>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m:t>
                  </m:r>
                </m:sub>
              </m:sSub>
            </m:den>
          </m:f>
        </m:oMath>
      </m:oMathPara>
    </w:p>
    <w:p w:rsidR="00494BD7" w:rsidRDefault="00494BD7" w:rsidP="00FB2303">
      <w:pPr>
        <w:jc w:val="both"/>
        <w:rPr>
          <w:rFonts w:asciiTheme="minorHAnsi" w:hAnsiTheme="minorHAnsi"/>
          <w:lang w:eastAsia="zh-CN"/>
        </w:rPr>
      </w:pPr>
      <w:proofErr w:type="gramStart"/>
      <w:r>
        <w:rPr>
          <w:rFonts w:asciiTheme="minorHAnsi" w:hAnsiTheme="minorHAnsi"/>
          <w:lang w:eastAsia="zh-CN"/>
        </w:rPr>
        <w:t>with</w:t>
      </w:r>
      <w:proofErr w:type="gramEnd"/>
      <w:r>
        <w:rPr>
          <w:rFonts w:asciiTheme="minorHAnsi" w:hAnsiTheme="minorHAnsi"/>
          <w:lang w:eastAsia="zh-CN"/>
        </w:rPr>
        <w:t xml:space="preserve"> some mathematical manipulation.</w:t>
      </w:r>
    </w:p>
    <w:p w:rsidR="00494BD7" w:rsidRDefault="00494BD7" w:rsidP="00FB2303">
      <w:pPr>
        <w:jc w:val="both"/>
        <w:rPr>
          <w:rFonts w:asciiTheme="minorHAnsi" w:hAnsiTheme="minorHAnsi"/>
          <w:lang w:eastAsia="zh-CN"/>
        </w:rPr>
      </w:pPr>
      <w:r>
        <w:rPr>
          <w:rFonts w:asciiTheme="minorHAnsi" w:hAnsiTheme="minorHAnsi"/>
          <w:lang w:eastAsia="zh-CN"/>
        </w:rPr>
        <w:t xml:space="preserve">The gain of SNR over SINR </w:t>
      </w:r>
      <w:proofErr w:type="gramStart"/>
      <w:r>
        <w:rPr>
          <w:rFonts w:asciiTheme="minorHAnsi" w:hAnsiTheme="minorHAnsi"/>
          <w:lang w:eastAsia="zh-CN"/>
        </w:rPr>
        <w:t xml:space="preserve">is </w:t>
      </w:r>
      <m:oMath>
        <m:r>
          <w:rPr>
            <w:rFonts w:ascii="Cambria Math" w:hAnsi="Cambria Math"/>
            <w:lang w:eastAsia="zh-CN"/>
          </w:rPr>
          <m:t>-</m:t>
        </m:r>
        <w:proofErr w:type="gramEnd"/>
        <m:r>
          <w:rPr>
            <w:rFonts w:ascii="Cambria Math" w:hAnsi="Cambria Math"/>
            <w:lang w:eastAsia="zh-CN"/>
          </w:rPr>
          <m:t>10lo</m:t>
        </m:r>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10</m:t>
            </m:r>
          </m:sub>
        </m:sSub>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m:t>
            </m:r>
          </m:sub>
        </m:sSub>
        <m:r>
          <w:rPr>
            <w:rFonts w:ascii="Cambria Math" w:hAnsi="Cambria Math"/>
            <w:lang w:eastAsia="zh-CN"/>
          </w:rPr>
          <m:t>)</m:t>
        </m:r>
      </m:oMath>
      <w:r>
        <w:rPr>
          <w:rFonts w:asciiTheme="minorHAnsi" w:hAnsiTheme="minorHAnsi"/>
          <w:lang w:eastAsia="zh-CN"/>
        </w:rPr>
        <w:t xml:space="preserve"> .  Based on the two DIP profiles, we have the maximum </w:t>
      </w:r>
      <w:r w:rsidR="003457B1">
        <w:rPr>
          <w:rFonts w:asciiTheme="minorHAnsi" w:hAnsiTheme="minorHAnsi"/>
          <w:lang w:eastAsia="zh-CN"/>
        </w:rPr>
        <w:t>IRC</w:t>
      </w:r>
      <w:r>
        <w:rPr>
          <w:rFonts w:asciiTheme="minorHAnsi" w:hAnsiTheme="minorHAnsi"/>
          <w:lang w:eastAsia="zh-CN"/>
        </w:rPr>
        <w:t xml:space="preserve"> gains of 8.4 dB and 12.8 dB for homogeneous network and het-net scenarios, respectively:</w:t>
      </w:r>
    </w:p>
    <w:p w:rsidR="00494BD7" w:rsidRPr="00494BD7" w:rsidRDefault="00494BD7" w:rsidP="00FB2303">
      <w:pPr>
        <w:jc w:val="both"/>
        <w:rPr>
          <w:rFonts w:ascii="Courier New" w:hAnsi="Courier New" w:cs="Courier New"/>
        </w:rPr>
      </w:pPr>
      <w:proofErr w:type="spellStart"/>
      <w:r w:rsidRPr="00494BD7">
        <w:rPr>
          <w:rFonts w:ascii="Courier New" w:hAnsi="Courier New" w:cs="Courier New"/>
        </w:rPr>
        <w:t>DidB</w:t>
      </w:r>
      <w:proofErr w:type="spellEnd"/>
      <w:r w:rsidRPr="00494BD7">
        <w:rPr>
          <w:rFonts w:ascii="Courier New" w:hAnsi="Courier New" w:cs="Courier New"/>
        </w:rPr>
        <w:t xml:space="preserve"> = [-1.11, -10.91];</w:t>
      </w:r>
      <w:r w:rsidRPr="00494BD7">
        <w:rPr>
          <w:rFonts w:ascii="Courier New" w:hAnsi="Courier New" w:cs="Courier New"/>
        </w:rPr>
        <w:tab/>
      </w:r>
      <w:r w:rsidRPr="00494BD7">
        <w:rPr>
          <w:rFonts w:ascii="Courier New" w:hAnsi="Courier New" w:cs="Courier New"/>
        </w:rPr>
        <w:tab/>
      </w:r>
      <w:r w:rsidRPr="00494BD7">
        <w:rPr>
          <w:rFonts w:ascii="Courier New" w:hAnsi="Courier New" w:cs="Courier New"/>
        </w:rPr>
        <w:sym w:font="Wingdings" w:char="F0E8"/>
      </w:r>
      <w:r>
        <w:rPr>
          <w:rFonts w:ascii="Courier New" w:hAnsi="Courier New" w:cs="Courier New"/>
        </w:rPr>
        <w:t xml:space="preserve"> </w:t>
      </w:r>
      <w:r w:rsidRPr="00494BD7">
        <w:rPr>
          <w:rFonts w:ascii="Courier New" w:hAnsi="Courier New" w:cs="Courier New"/>
        </w:rPr>
        <w:t>8.4dB</w:t>
      </w:r>
    </w:p>
    <w:p w:rsidR="00494BD7" w:rsidRDefault="00494BD7" w:rsidP="00FB2303">
      <w:pPr>
        <w:jc w:val="both"/>
        <w:rPr>
          <w:rFonts w:ascii="Courier New" w:hAnsi="Courier New" w:cs="Courier New"/>
        </w:rPr>
      </w:pPr>
      <w:proofErr w:type="spellStart"/>
      <w:r w:rsidRPr="00494BD7">
        <w:rPr>
          <w:rFonts w:ascii="Courier New" w:hAnsi="Courier New" w:cs="Courier New"/>
        </w:rPr>
        <w:t>DidB</w:t>
      </w:r>
      <w:proofErr w:type="spellEnd"/>
      <w:r w:rsidRPr="00494BD7">
        <w:rPr>
          <w:rFonts w:ascii="Courier New" w:hAnsi="Courier New" w:cs="Courier New"/>
        </w:rPr>
        <w:t xml:space="preserve"> = [-0.43, -13.78];</w:t>
      </w:r>
      <w:r w:rsidRPr="00494BD7">
        <w:rPr>
          <w:rFonts w:ascii="Courier New" w:hAnsi="Courier New" w:cs="Courier New"/>
        </w:rPr>
        <w:tab/>
      </w:r>
      <w:r w:rsidRPr="00494BD7">
        <w:rPr>
          <w:rFonts w:ascii="Courier New" w:hAnsi="Courier New" w:cs="Courier New"/>
        </w:rPr>
        <w:tab/>
      </w:r>
      <w:r w:rsidRPr="00494BD7">
        <w:rPr>
          <w:rFonts w:ascii="Courier New" w:hAnsi="Courier New" w:cs="Courier New"/>
        </w:rPr>
        <w:sym w:font="Wingdings" w:char="F0E8"/>
      </w:r>
      <w:r w:rsidRPr="00494BD7">
        <w:rPr>
          <w:rFonts w:ascii="Courier New" w:hAnsi="Courier New" w:cs="Courier New"/>
        </w:rPr>
        <w:t xml:space="preserve"> 12.8 dB</w:t>
      </w:r>
    </w:p>
    <w:p w:rsidR="00494BD7" w:rsidRDefault="005E310B" w:rsidP="00FB2303">
      <w:pPr>
        <w:jc w:val="both"/>
        <w:rPr>
          <w:lang w:val="en-US"/>
        </w:rPr>
      </w:pPr>
      <w:r>
        <w:rPr>
          <w:lang w:val="en-US"/>
        </w:rPr>
        <w:t xml:space="preserve">It should be expected </w:t>
      </w:r>
      <w:r w:rsidR="00B2367C">
        <w:rPr>
          <w:lang w:val="en-US"/>
        </w:rPr>
        <w:t>any IRC gain, regardless of # of Rx antennas, shall be less than the theoretical limit of the IRC gain, with the given DIP profiles.</w:t>
      </w:r>
    </w:p>
    <w:p w:rsidR="00494BD7" w:rsidRPr="005E310B" w:rsidRDefault="00494BD7" w:rsidP="00FB2303">
      <w:pPr>
        <w:jc w:val="both"/>
        <w:rPr>
          <w:lang w:val="en-US"/>
        </w:rPr>
      </w:pPr>
      <w:r w:rsidRPr="005E310B">
        <w:rPr>
          <w:lang w:val="en-US"/>
        </w:rPr>
        <w:t xml:space="preserve"> </w:t>
      </w:r>
    </w:p>
    <w:p w:rsidR="009252ED" w:rsidRDefault="009252ED" w:rsidP="00FB2303">
      <w:pPr>
        <w:pStyle w:val="Heading4"/>
        <w:jc w:val="both"/>
        <w:rPr>
          <w:kern w:val="2"/>
          <w:lang w:val="en-US"/>
        </w:rPr>
      </w:pPr>
      <w:r>
        <w:rPr>
          <w:kern w:val="2"/>
          <w:lang w:val="en-US"/>
        </w:rPr>
        <w:t>2.3</w:t>
      </w:r>
      <w:r>
        <w:rPr>
          <w:kern w:val="2"/>
          <w:lang w:val="en-US"/>
        </w:rPr>
        <w:tab/>
        <w:t>Co-variance channel estimation</w:t>
      </w:r>
    </w:p>
    <w:p w:rsidR="00B2367C" w:rsidRDefault="00B2367C" w:rsidP="00FB2303">
      <w:pPr>
        <w:jc w:val="both"/>
        <w:rPr>
          <w:lang w:val="en-US"/>
        </w:rPr>
      </w:pPr>
      <w:r>
        <w:rPr>
          <w:lang w:val="en-US"/>
        </w:rPr>
        <w:t>Co-variance channel estimation is critical for IRC receiver, as indicated in the baseline receiver structure [</w:t>
      </w:r>
      <w:r w:rsidR="00D16CB4">
        <w:rPr>
          <w:lang w:val="en-US"/>
        </w:rPr>
        <w:t>4</w:t>
      </w:r>
      <w:r>
        <w:rPr>
          <w:lang w:val="en-US"/>
        </w:rPr>
        <w:t>].</w:t>
      </w:r>
      <w:r w:rsidR="00595581">
        <w:rPr>
          <w:lang w:val="en-US"/>
        </w:rPr>
        <w:t xml:space="preserve">  The estimation of the co-variance matrix is used to calculate the combination matrix to mitigate potential interference.</w:t>
      </w:r>
    </w:p>
    <w:p w:rsidR="00595581" w:rsidRDefault="00595581" w:rsidP="00FB2303">
      <w:pPr>
        <w:jc w:val="both"/>
        <w:rPr>
          <w:lang w:val="en-US"/>
        </w:rPr>
      </w:pPr>
      <w:r>
        <w:rPr>
          <w:lang w:val="en-US"/>
        </w:rPr>
        <w:t xml:space="preserve">There are at least of two types of co-variance matrix estimation, based on whether the estimation is based on full allocated bandwidth or respective allocated PRB.  Estimation over full allocated bandwidth should provide better channel </w:t>
      </w:r>
      <w:r w:rsidR="00F06679">
        <w:rPr>
          <w:lang w:val="en-US"/>
        </w:rPr>
        <w:t>estimation;</w:t>
      </w:r>
      <w:r>
        <w:rPr>
          <w:lang w:val="en-US"/>
        </w:rPr>
        <w:t xml:space="preserve"> however, it may suffer insufficient accuracy</w:t>
      </w:r>
      <w:r w:rsidR="0015361A">
        <w:rPr>
          <w:lang w:val="en-US"/>
        </w:rPr>
        <w:t xml:space="preserve"> on co-variance matrix estimation when an interfering channel</w:t>
      </w:r>
      <w:r>
        <w:rPr>
          <w:lang w:val="en-US"/>
        </w:rPr>
        <w:t xml:space="preserve"> </w:t>
      </w:r>
      <w:r w:rsidR="0015361A">
        <w:rPr>
          <w:lang w:val="en-US"/>
        </w:rPr>
        <w:t>varies in frequency domain.  Channel estimation is an implementation issue that won't be specified in 3GPP specification.  However, proper testing setup should be designed to ensure proper channel estimation.</w:t>
      </w:r>
    </w:p>
    <w:p w:rsidR="0015361A" w:rsidRDefault="00B2367C" w:rsidP="00FB2303">
      <w:pPr>
        <w:jc w:val="both"/>
        <w:rPr>
          <w:lang w:val="en-US"/>
        </w:rPr>
      </w:pPr>
      <w:r>
        <w:rPr>
          <w:lang w:val="en-US"/>
        </w:rPr>
        <w:t>There are two methods to check the impact on co-variance channel estimation</w:t>
      </w:r>
      <w:r w:rsidR="0015361A">
        <w:rPr>
          <w:lang w:val="en-US"/>
        </w:rPr>
        <w:t xml:space="preserve"> for IRC receiver, as suggested in [</w:t>
      </w:r>
      <w:r w:rsidR="00D16CB4">
        <w:rPr>
          <w:lang w:val="en-US"/>
        </w:rPr>
        <w:t>5</w:t>
      </w:r>
      <w:r w:rsidR="0015361A">
        <w:rPr>
          <w:lang w:val="en-US"/>
        </w:rPr>
        <w:t>].  The two methods are:</w:t>
      </w:r>
    </w:p>
    <w:p w:rsidR="0015361A" w:rsidRDefault="0015361A" w:rsidP="00FB2303">
      <w:pPr>
        <w:pStyle w:val="ListParagraph"/>
        <w:numPr>
          <w:ilvl w:val="0"/>
          <w:numId w:val="9"/>
        </w:numPr>
        <w:jc w:val="both"/>
        <w:rPr>
          <w:sz w:val="20"/>
          <w:szCs w:val="20"/>
        </w:rPr>
      </w:pPr>
      <w:r>
        <w:rPr>
          <w:sz w:val="20"/>
          <w:szCs w:val="20"/>
        </w:rPr>
        <w:t>Define single PRB performance, as specified in 36.104 for MMSE (non-IRC) receiver.</w:t>
      </w:r>
    </w:p>
    <w:p w:rsidR="0015361A" w:rsidRDefault="0015361A" w:rsidP="00FB2303">
      <w:pPr>
        <w:pStyle w:val="ListParagraph"/>
        <w:numPr>
          <w:ilvl w:val="0"/>
          <w:numId w:val="9"/>
        </w:numPr>
        <w:jc w:val="both"/>
        <w:rPr>
          <w:sz w:val="20"/>
          <w:szCs w:val="20"/>
        </w:rPr>
      </w:pPr>
      <w:r>
        <w:rPr>
          <w:sz w:val="20"/>
          <w:szCs w:val="20"/>
        </w:rPr>
        <w:t>Use ETU70 for interfering UE channel.</w:t>
      </w:r>
    </w:p>
    <w:p w:rsidR="0015361A" w:rsidRDefault="0015361A" w:rsidP="00FB2303">
      <w:pPr>
        <w:jc w:val="both"/>
      </w:pPr>
      <w:r>
        <w:t xml:space="preserve">Link level simulations are performed to evaluate </w:t>
      </w:r>
      <w:r w:rsidR="007A2AB4">
        <w:t xml:space="preserve">the performance for Case 7 and Case 8 (2Rx, EVA70).  The interfering channel is changed to ETU70 to compare with the performance of EVA70.  The results are shown in </w:t>
      </w:r>
      <w:fldSimple w:instr=" REF _Ref426457802 \h  \* MERGEFORMAT ">
        <w:r w:rsidR="002F4B1A">
          <w:t xml:space="preserve">Table </w:t>
        </w:r>
        <w:r w:rsidR="002F4B1A">
          <w:rPr>
            <w:noProof/>
          </w:rPr>
          <w:t>1</w:t>
        </w:r>
      </w:fldSimple>
      <w:r w:rsidR="002F4B1A">
        <w:t>.</w:t>
      </w:r>
    </w:p>
    <w:p w:rsidR="007A2AB4" w:rsidRDefault="007A2AB4" w:rsidP="00FB2303">
      <w:pPr>
        <w:pStyle w:val="Caption"/>
        <w:keepNext/>
        <w:jc w:val="both"/>
      </w:pPr>
      <w:bookmarkStart w:id="1" w:name="_Ref426457802"/>
      <w:r>
        <w:t xml:space="preserve">Table </w:t>
      </w:r>
      <w:fldSimple w:instr=" SEQ Table \* ARABIC ">
        <w:r>
          <w:rPr>
            <w:noProof/>
          </w:rPr>
          <w:t>1</w:t>
        </w:r>
      </w:fldSimple>
      <w:bookmarkEnd w:id="1"/>
      <w:r>
        <w:t xml:space="preserve">    Case 7 and Case 8 Simulation results at 70% throughput</w:t>
      </w:r>
    </w:p>
    <w:tbl>
      <w:tblPr>
        <w:tblW w:w="0" w:type="auto"/>
        <w:jc w:val="center"/>
        <w:tblInd w:w="78" w:type="dxa"/>
        <w:tblLayout w:type="fixed"/>
        <w:tblLook w:val="0000"/>
      </w:tblPr>
      <w:tblGrid>
        <w:gridCol w:w="4204"/>
        <w:gridCol w:w="992"/>
        <w:gridCol w:w="992"/>
      </w:tblGrid>
      <w:tr w:rsidR="007A2AB4" w:rsidRPr="007A2AB4" w:rsidTr="007A2AB4">
        <w:trPr>
          <w:trHeight w:val="287"/>
          <w:jc w:val="center"/>
        </w:trPr>
        <w:tc>
          <w:tcPr>
            <w:tcW w:w="4204" w:type="dxa"/>
            <w:tcBorders>
              <w:top w:val="single" w:sz="6" w:space="0" w:color="auto"/>
              <w:left w:val="single" w:sz="6" w:space="0" w:color="auto"/>
              <w:bottom w:val="single" w:sz="6" w:space="0" w:color="auto"/>
              <w:right w:val="single" w:sz="6" w:space="0" w:color="auto"/>
            </w:tcBorders>
            <w:shd w:val="solid" w:color="CCCCFF" w:fill="FFFFFF"/>
          </w:tcPr>
          <w:p w:rsidR="007A2AB4" w:rsidRPr="007A2AB4" w:rsidRDefault="007A2AB4" w:rsidP="00FB2303">
            <w:pPr>
              <w:overflowPunct/>
              <w:spacing w:after="0"/>
              <w:jc w:val="both"/>
              <w:textAlignment w:val="auto"/>
              <w:rPr>
                <w:rFonts w:ascii="Calibri" w:hAnsi="Calibri" w:cs="Calibri"/>
                <w:color w:val="000000"/>
                <w:lang w:val="en-US" w:eastAsia="zh-CN"/>
              </w:rPr>
            </w:pPr>
            <w:r w:rsidRPr="007A2AB4">
              <w:rPr>
                <w:rFonts w:ascii="Calibri" w:hAnsi="Calibri" w:cs="Calibri"/>
                <w:color w:val="000000"/>
                <w:lang w:val="en-US" w:eastAsia="zh-CN"/>
              </w:rPr>
              <w:t>Case 7 and Case 8</w:t>
            </w:r>
          </w:p>
        </w:tc>
        <w:tc>
          <w:tcPr>
            <w:tcW w:w="992" w:type="dxa"/>
            <w:tcBorders>
              <w:top w:val="single" w:sz="6" w:space="0" w:color="auto"/>
              <w:left w:val="single" w:sz="6" w:space="0" w:color="auto"/>
              <w:bottom w:val="single" w:sz="6" w:space="0" w:color="auto"/>
              <w:right w:val="single" w:sz="6" w:space="0" w:color="auto"/>
            </w:tcBorders>
            <w:shd w:val="solid" w:color="CCCCFF" w:fill="FFFFFF"/>
          </w:tcPr>
          <w:p w:rsidR="007A2AB4" w:rsidRPr="007A2AB4" w:rsidRDefault="007A2AB4" w:rsidP="00FB2303">
            <w:pPr>
              <w:overflowPunct/>
              <w:spacing w:after="0"/>
              <w:jc w:val="both"/>
              <w:textAlignment w:val="auto"/>
              <w:rPr>
                <w:rFonts w:ascii="Calibri" w:hAnsi="Calibri" w:cs="Calibri"/>
                <w:color w:val="000000"/>
                <w:lang w:val="en-US" w:eastAsia="zh-CN"/>
              </w:rPr>
            </w:pPr>
            <w:proofErr w:type="spellStart"/>
            <w:r w:rsidRPr="007A2AB4">
              <w:rPr>
                <w:rFonts w:ascii="Calibri" w:hAnsi="Calibri" w:cs="Calibri"/>
                <w:color w:val="000000"/>
                <w:lang w:val="en-US" w:eastAsia="zh-CN"/>
              </w:rPr>
              <w:t>Int</w:t>
            </w:r>
            <w:proofErr w:type="spellEnd"/>
            <w:r w:rsidRPr="007A2AB4">
              <w:rPr>
                <w:rFonts w:ascii="Calibri" w:hAnsi="Calibri" w:cs="Calibri"/>
                <w:color w:val="000000"/>
                <w:lang w:val="en-US" w:eastAsia="zh-CN"/>
              </w:rPr>
              <w:t>: EVA70</w:t>
            </w:r>
          </w:p>
        </w:tc>
        <w:tc>
          <w:tcPr>
            <w:tcW w:w="992" w:type="dxa"/>
            <w:tcBorders>
              <w:top w:val="single" w:sz="6" w:space="0" w:color="auto"/>
              <w:left w:val="single" w:sz="6" w:space="0" w:color="auto"/>
              <w:bottom w:val="single" w:sz="6" w:space="0" w:color="auto"/>
              <w:right w:val="single" w:sz="6" w:space="0" w:color="auto"/>
            </w:tcBorders>
            <w:shd w:val="solid" w:color="CCCCFF" w:fill="FFFFFF"/>
          </w:tcPr>
          <w:p w:rsidR="007A2AB4" w:rsidRPr="007A2AB4" w:rsidRDefault="007A2AB4" w:rsidP="00FB2303">
            <w:pPr>
              <w:overflowPunct/>
              <w:spacing w:after="0"/>
              <w:jc w:val="both"/>
              <w:textAlignment w:val="auto"/>
              <w:rPr>
                <w:rFonts w:ascii="Calibri" w:hAnsi="Calibri" w:cs="Calibri"/>
                <w:color w:val="000000"/>
                <w:lang w:val="en-US" w:eastAsia="zh-CN"/>
              </w:rPr>
            </w:pPr>
            <w:proofErr w:type="spellStart"/>
            <w:r w:rsidRPr="007A2AB4">
              <w:rPr>
                <w:rFonts w:ascii="Calibri" w:hAnsi="Calibri" w:cs="Calibri"/>
                <w:color w:val="000000"/>
                <w:lang w:val="en-US" w:eastAsia="zh-CN"/>
              </w:rPr>
              <w:t>Int</w:t>
            </w:r>
            <w:proofErr w:type="spellEnd"/>
            <w:r w:rsidRPr="007A2AB4">
              <w:rPr>
                <w:rFonts w:ascii="Calibri" w:hAnsi="Calibri" w:cs="Calibri"/>
                <w:color w:val="000000"/>
                <w:lang w:val="en-US" w:eastAsia="zh-CN"/>
              </w:rPr>
              <w:t>: ETU70</w:t>
            </w:r>
          </w:p>
        </w:tc>
      </w:tr>
      <w:tr w:rsidR="007A2AB4" w:rsidRPr="007A2AB4" w:rsidTr="007A2AB4">
        <w:trPr>
          <w:trHeight w:val="287"/>
          <w:jc w:val="center"/>
        </w:trPr>
        <w:tc>
          <w:tcPr>
            <w:tcW w:w="4204" w:type="dxa"/>
            <w:tcBorders>
              <w:top w:val="single" w:sz="6" w:space="0" w:color="auto"/>
              <w:left w:val="single" w:sz="6" w:space="0" w:color="auto"/>
              <w:bottom w:val="single" w:sz="6" w:space="0" w:color="auto"/>
              <w:right w:val="single" w:sz="6" w:space="0" w:color="auto"/>
            </w:tcBorders>
          </w:tcPr>
          <w:p w:rsidR="007A2AB4" w:rsidRPr="007A2AB4" w:rsidRDefault="007A2AB4" w:rsidP="00FB2303">
            <w:pPr>
              <w:overflowPunct/>
              <w:spacing w:after="0"/>
              <w:jc w:val="both"/>
              <w:textAlignment w:val="auto"/>
              <w:rPr>
                <w:rFonts w:ascii="Calibri" w:hAnsi="Calibri" w:cs="Calibri"/>
                <w:color w:val="000000"/>
                <w:lang w:val="en-US" w:eastAsia="zh-CN"/>
              </w:rPr>
            </w:pPr>
            <w:r w:rsidRPr="007A2AB4">
              <w:rPr>
                <w:rFonts w:ascii="Calibri" w:hAnsi="Calibri" w:cs="Calibri"/>
                <w:color w:val="000000"/>
                <w:lang w:val="en-US" w:eastAsia="zh-CN"/>
              </w:rPr>
              <w:t>PRB50,(-1.11,-10.91),IRC-MMSE</w:t>
            </w:r>
          </w:p>
        </w:tc>
        <w:tc>
          <w:tcPr>
            <w:tcW w:w="992" w:type="dxa"/>
            <w:tcBorders>
              <w:top w:val="single" w:sz="6" w:space="0" w:color="auto"/>
              <w:left w:val="single" w:sz="6" w:space="0" w:color="auto"/>
              <w:bottom w:val="single" w:sz="6" w:space="0" w:color="auto"/>
              <w:right w:val="single" w:sz="6" w:space="0" w:color="auto"/>
            </w:tcBorders>
          </w:tcPr>
          <w:p w:rsidR="007A2AB4" w:rsidRPr="007A2AB4" w:rsidRDefault="007A2AB4" w:rsidP="00FB2303">
            <w:pPr>
              <w:overflowPunct/>
              <w:spacing w:after="0"/>
              <w:jc w:val="both"/>
              <w:textAlignment w:val="auto"/>
              <w:rPr>
                <w:rFonts w:ascii="Calibri" w:hAnsi="Calibri" w:cs="Calibri"/>
                <w:color w:val="000000"/>
                <w:lang w:val="en-US" w:eastAsia="zh-CN"/>
              </w:rPr>
            </w:pPr>
            <w:r w:rsidRPr="007A2AB4">
              <w:rPr>
                <w:rFonts w:ascii="Calibri" w:hAnsi="Calibri" w:cs="Calibri"/>
                <w:color w:val="000000"/>
                <w:lang w:val="en-US" w:eastAsia="zh-CN"/>
              </w:rPr>
              <w:t>-4.95</w:t>
            </w:r>
          </w:p>
        </w:tc>
        <w:tc>
          <w:tcPr>
            <w:tcW w:w="992" w:type="dxa"/>
            <w:tcBorders>
              <w:top w:val="single" w:sz="6" w:space="0" w:color="auto"/>
              <w:left w:val="single" w:sz="6" w:space="0" w:color="auto"/>
              <w:bottom w:val="single" w:sz="6" w:space="0" w:color="auto"/>
              <w:right w:val="single" w:sz="6" w:space="0" w:color="auto"/>
            </w:tcBorders>
          </w:tcPr>
          <w:p w:rsidR="007A2AB4" w:rsidRPr="007A2AB4" w:rsidRDefault="007A2AB4" w:rsidP="00FB2303">
            <w:pPr>
              <w:overflowPunct/>
              <w:spacing w:after="0"/>
              <w:jc w:val="both"/>
              <w:textAlignment w:val="auto"/>
              <w:rPr>
                <w:rFonts w:ascii="Calibri" w:hAnsi="Calibri" w:cs="Calibri"/>
                <w:color w:val="000000"/>
                <w:lang w:val="en-US" w:eastAsia="zh-CN"/>
              </w:rPr>
            </w:pPr>
            <w:r w:rsidRPr="007A2AB4">
              <w:rPr>
                <w:rFonts w:ascii="Calibri" w:hAnsi="Calibri" w:cs="Calibri"/>
                <w:color w:val="000000"/>
                <w:lang w:val="en-US" w:eastAsia="zh-CN"/>
              </w:rPr>
              <w:t>-4.94</w:t>
            </w:r>
          </w:p>
        </w:tc>
      </w:tr>
      <w:tr w:rsidR="007A2AB4" w:rsidRPr="007A2AB4" w:rsidTr="007A2AB4">
        <w:trPr>
          <w:trHeight w:val="287"/>
          <w:jc w:val="center"/>
        </w:trPr>
        <w:tc>
          <w:tcPr>
            <w:tcW w:w="4204" w:type="dxa"/>
            <w:tcBorders>
              <w:top w:val="single" w:sz="6" w:space="0" w:color="auto"/>
              <w:left w:val="single" w:sz="6" w:space="0" w:color="auto"/>
              <w:bottom w:val="single" w:sz="6" w:space="0" w:color="auto"/>
              <w:right w:val="single" w:sz="6" w:space="0" w:color="auto"/>
            </w:tcBorders>
          </w:tcPr>
          <w:p w:rsidR="007A2AB4" w:rsidRPr="007A2AB4" w:rsidRDefault="007A2AB4" w:rsidP="00FB2303">
            <w:pPr>
              <w:overflowPunct/>
              <w:spacing w:after="0"/>
              <w:jc w:val="both"/>
              <w:textAlignment w:val="auto"/>
              <w:rPr>
                <w:rFonts w:ascii="Calibri" w:hAnsi="Calibri" w:cs="Calibri"/>
                <w:color w:val="000000"/>
                <w:lang w:val="en-US" w:eastAsia="zh-CN"/>
              </w:rPr>
            </w:pPr>
            <w:r w:rsidRPr="007A2AB4">
              <w:rPr>
                <w:rFonts w:ascii="Calibri" w:hAnsi="Calibri" w:cs="Calibri"/>
                <w:color w:val="000000"/>
                <w:lang w:val="en-US" w:eastAsia="zh-CN"/>
              </w:rPr>
              <w:t>PRB50,(-1.11,-10.91),MRC-MMSE</w:t>
            </w:r>
          </w:p>
        </w:tc>
        <w:tc>
          <w:tcPr>
            <w:tcW w:w="992" w:type="dxa"/>
            <w:tcBorders>
              <w:top w:val="single" w:sz="6" w:space="0" w:color="auto"/>
              <w:left w:val="single" w:sz="6" w:space="0" w:color="auto"/>
              <w:bottom w:val="single" w:sz="6" w:space="0" w:color="auto"/>
              <w:right w:val="single" w:sz="6" w:space="0" w:color="auto"/>
            </w:tcBorders>
          </w:tcPr>
          <w:p w:rsidR="007A2AB4" w:rsidRPr="007A2AB4" w:rsidRDefault="007A2AB4" w:rsidP="00FB2303">
            <w:pPr>
              <w:overflowPunct/>
              <w:spacing w:after="0"/>
              <w:jc w:val="both"/>
              <w:textAlignment w:val="auto"/>
              <w:rPr>
                <w:rFonts w:ascii="Calibri" w:hAnsi="Calibri" w:cs="Calibri"/>
                <w:color w:val="000000"/>
                <w:lang w:val="en-US" w:eastAsia="zh-CN"/>
              </w:rPr>
            </w:pPr>
            <w:r w:rsidRPr="007A2AB4">
              <w:rPr>
                <w:rFonts w:ascii="Calibri" w:hAnsi="Calibri" w:cs="Calibri"/>
                <w:color w:val="000000"/>
                <w:lang w:val="en-US" w:eastAsia="zh-CN"/>
              </w:rPr>
              <w:t>-2.00</w:t>
            </w:r>
          </w:p>
        </w:tc>
        <w:tc>
          <w:tcPr>
            <w:tcW w:w="992" w:type="dxa"/>
            <w:tcBorders>
              <w:top w:val="single" w:sz="6" w:space="0" w:color="auto"/>
              <w:left w:val="single" w:sz="6" w:space="0" w:color="auto"/>
              <w:bottom w:val="single" w:sz="6" w:space="0" w:color="auto"/>
              <w:right w:val="single" w:sz="6" w:space="0" w:color="auto"/>
            </w:tcBorders>
          </w:tcPr>
          <w:p w:rsidR="007A2AB4" w:rsidRPr="007A2AB4" w:rsidRDefault="007A2AB4" w:rsidP="00FB2303">
            <w:pPr>
              <w:overflowPunct/>
              <w:spacing w:after="0"/>
              <w:jc w:val="both"/>
              <w:textAlignment w:val="auto"/>
              <w:rPr>
                <w:rFonts w:ascii="Calibri" w:hAnsi="Calibri" w:cs="Calibri"/>
                <w:color w:val="000000"/>
                <w:lang w:val="en-US" w:eastAsia="zh-CN"/>
              </w:rPr>
            </w:pPr>
            <w:r w:rsidRPr="007A2AB4">
              <w:rPr>
                <w:rFonts w:ascii="Calibri" w:hAnsi="Calibri" w:cs="Calibri"/>
                <w:color w:val="000000"/>
                <w:lang w:val="en-US" w:eastAsia="zh-CN"/>
              </w:rPr>
              <w:t>-2.03</w:t>
            </w:r>
          </w:p>
        </w:tc>
      </w:tr>
      <w:tr w:rsidR="007A2AB4" w:rsidRPr="007A2AB4" w:rsidTr="007A2AB4">
        <w:trPr>
          <w:trHeight w:val="287"/>
          <w:jc w:val="center"/>
        </w:trPr>
        <w:tc>
          <w:tcPr>
            <w:tcW w:w="4204" w:type="dxa"/>
            <w:tcBorders>
              <w:top w:val="single" w:sz="6" w:space="0" w:color="auto"/>
              <w:left w:val="single" w:sz="6" w:space="0" w:color="auto"/>
              <w:bottom w:val="single" w:sz="6" w:space="0" w:color="auto"/>
              <w:right w:val="single" w:sz="6" w:space="0" w:color="auto"/>
            </w:tcBorders>
          </w:tcPr>
          <w:p w:rsidR="007A2AB4" w:rsidRPr="007A2AB4" w:rsidRDefault="007A2AB4" w:rsidP="00FB2303">
            <w:pPr>
              <w:overflowPunct/>
              <w:spacing w:after="0"/>
              <w:jc w:val="both"/>
              <w:textAlignment w:val="auto"/>
              <w:rPr>
                <w:rFonts w:ascii="Calibri" w:hAnsi="Calibri" w:cs="Calibri"/>
                <w:color w:val="000000"/>
                <w:lang w:val="en-US" w:eastAsia="zh-CN"/>
              </w:rPr>
            </w:pPr>
            <w:r w:rsidRPr="007A2AB4">
              <w:rPr>
                <w:rFonts w:ascii="Calibri" w:hAnsi="Calibri" w:cs="Calibri"/>
                <w:color w:val="000000"/>
                <w:lang w:val="en-US" w:eastAsia="zh-CN"/>
              </w:rPr>
              <w:t>PRB50,(-0.43,-13.78),IRC-MMSE</w:t>
            </w:r>
          </w:p>
        </w:tc>
        <w:tc>
          <w:tcPr>
            <w:tcW w:w="992" w:type="dxa"/>
            <w:tcBorders>
              <w:top w:val="single" w:sz="6" w:space="0" w:color="auto"/>
              <w:left w:val="single" w:sz="6" w:space="0" w:color="auto"/>
              <w:bottom w:val="single" w:sz="6" w:space="0" w:color="auto"/>
              <w:right w:val="single" w:sz="6" w:space="0" w:color="auto"/>
            </w:tcBorders>
          </w:tcPr>
          <w:p w:rsidR="007A2AB4" w:rsidRPr="007A2AB4" w:rsidRDefault="007A2AB4" w:rsidP="00FB2303">
            <w:pPr>
              <w:overflowPunct/>
              <w:spacing w:after="0"/>
              <w:jc w:val="both"/>
              <w:textAlignment w:val="auto"/>
              <w:rPr>
                <w:rFonts w:ascii="Calibri" w:hAnsi="Calibri" w:cs="Calibri"/>
                <w:color w:val="000000"/>
                <w:lang w:val="en-US" w:eastAsia="zh-CN"/>
              </w:rPr>
            </w:pPr>
            <w:r w:rsidRPr="007A2AB4">
              <w:rPr>
                <w:rFonts w:ascii="Calibri" w:hAnsi="Calibri" w:cs="Calibri"/>
                <w:color w:val="000000"/>
                <w:lang w:val="en-US" w:eastAsia="zh-CN"/>
              </w:rPr>
              <w:t>-7.60</w:t>
            </w:r>
          </w:p>
        </w:tc>
        <w:tc>
          <w:tcPr>
            <w:tcW w:w="992" w:type="dxa"/>
            <w:tcBorders>
              <w:top w:val="single" w:sz="6" w:space="0" w:color="auto"/>
              <w:left w:val="single" w:sz="6" w:space="0" w:color="auto"/>
              <w:bottom w:val="single" w:sz="6" w:space="0" w:color="auto"/>
              <w:right w:val="single" w:sz="6" w:space="0" w:color="auto"/>
            </w:tcBorders>
          </w:tcPr>
          <w:p w:rsidR="007A2AB4" w:rsidRPr="007A2AB4" w:rsidRDefault="007A2AB4" w:rsidP="00FB2303">
            <w:pPr>
              <w:overflowPunct/>
              <w:spacing w:after="0"/>
              <w:jc w:val="both"/>
              <w:textAlignment w:val="auto"/>
              <w:rPr>
                <w:rFonts w:ascii="Calibri" w:hAnsi="Calibri" w:cs="Calibri"/>
                <w:color w:val="000000"/>
                <w:lang w:val="en-US" w:eastAsia="zh-CN"/>
              </w:rPr>
            </w:pPr>
            <w:r w:rsidRPr="007A2AB4">
              <w:rPr>
                <w:rFonts w:ascii="Calibri" w:hAnsi="Calibri" w:cs="Calibri"/>
                <w:color w:val="000000"/>
                <w:lang w:val="en-US" w:eastAsia="zh-CN"/>
              </w:rPr>
              <w:t>-7.56</w:t>
            </w:r>
          </w:p>
        </w:tc>
      </w:tr>
      <w:tr w:rsidR="007A2AB4" w:rsidRPr="007A2AB4" w:rsidTr="007A2AB4">
        <w:trPr>
          <w:trHeight w:val="287"/>
          <w:jc w:val="center"/>
        </w:trPr>
        <w:tc>
          <w:tcPr>
            <w:tcW w:w="4204" w:type="dxa"/>
            <w:tcBorders>
              <w:top w:val="single" w:sz="6" w:space="0" w:color="auto"/>
              <w:left w:val="single" w:sz="6" w:space="0" w:color="auto"/>
              <w:bottom w:val="single" w:sz="6" w:space="0" w:color="auto"/>
              <w:right w:val="single" w:sz="6" w:space="0" w:color="auto"/>
            </w:tcBorders>
          </w:tcPr>
          <w:p w:rsidR="007A2AB4" w:rsidRPr="007A2AB4" w:rsidRDefault="007A2AB4" w:rsidP="00FB2303">
            <w:pPr>
              <w:overflowPunct/>
              <w:spacing w:after="0"/>
              <w:jc w:val="both"/>
              <w:textAlignment w:val="auto"/>
              <w:rPr>
                <w:rFonts w:ascii="Calibri" w:hAnsi="Calibri" w:cs="Calibri"/>
                <w:color w:val="000000"/>
                <w:lang w:val="en-US" w:eastAsia="zh-CN"/>
              </w:rPr>
            </w:pPr>
            <w:r w:rsidRPr="007A2AB4">
              <w:rPr>
                <w:rFonts w:ascii="Calibri" w:hAnsi="Calibri" w:cs="Calibri"/>
                <w:color w:val="000000"/>
                <w:lang w:val="en-US" w:eastAsia="zh-CN"/>
              </w:rPr>
              <w:t>PRB50,(-0.43,-13.78),MRC-MMSE</w:t>
            </w:r>
          </w:p>
        </w:tc>
        <w:tc>
          <w:tcPr>
            <w:tcW w:w="992" w:type="dxa"/>
            <w:tcBorders>
              <w:top w:val="single" w:sz="6" w:space="0" w:color="auto"/>
              <w:left w:val="single" w:sz="6" w:space="0" w:color="auto"/>
              <w:bottom w:val="single" w:sz="6" w:space="0" w:color="auto"/>
              <w:right w:val="single" w:sz="6" w:space="0" w:color="auto"/>
            </w:tcBorders>
          </w:tcPr>
          <w:p w:rsidR="007A2AB4" w:rsidRPr="007A2AB4" w:rsidRDefault="007A2AB4" w:rsidP="00FB2303">
            <w:pPr>
              <w:overflowPunct/>
              <w:spacing w:after="0"/>
              <w:jc w:val="both"/>
              <w:textAlignment w:val="auto"/>
              <w:rPr>
                <w:rFonts w:ascii="Calibri" w:hAnsi="Calibri" w:cs="Calibri"/>
                <w:color w:val="000000"/>
                <w:lang w:val="en-US" w:eastAsia="zh-CN"/>
              </w:rPr>
            </w:pPr>
            <w:r w:rsidRPr="007A2AB4">
              <w:rPr>
                <w:rFonts w:ascii="Calibri" w:hAnsi="Calibri" w:cs="Calibri"/>
                <w:color w:val="000000"/>
                <w:lang w:val="en-US" w:eastAsia="zh-CN"/>
              </w:rPr>
              <w:t>-2.07</w:t>
            </w:r>
          </w:p>
        </w:tc>
        <w:tc>
          <w:tcPr>
            <w:tcW w:w="992" w:type="dxa"/>
            <w:tcBorders>
              <w:top w:val="single" w:sz="6" w:space="0" w:color="auto"/>
              <w:left w:val="single" w:sz="6" w:space="0" w:color="auto"/>
              <w:bottom w:val="single" w:sz="6" w:space="0" w:color="auto"/>
              <w:right w:val="single" w:sz="6" w:space="0" w:color="auto"/>
            </w:tcBorders>
          </w:tcPr>
          <w:p w:rsidR="007A2AB4" w:rsidRPr="007A2AB4" w:rsidRDefault="007A2AB4" w:rsidP="00FB2303">
            <w:pPr>
              <w:overflowPunct/>
              <w:spacing w:after="0"/>
              <w:jc w:val="both"/>
              <w:textAlignment w:val="auto"/>
              <w:rPr>
                <w:rFonts w:ascii="Calibri" w:hAnsi="Calibri" w:cs="Calibri"/>
                <w:color w:val="000000"/>
                <w:lang w:val="en-US" w:eastAsia="zh-CN"/>
              </w:rPr>
            </w:pPr>
            <w:r w:rsidRPr="007A2AB4">
              <w:rPr>
                <w:rFonts w:ascii="Calibri" w:hAnsi="Calibri" w:cs="Calibri"/>
                <w:color w:val="000000"/>
                <w:lang w:val="en-US" w:eastAsia="zh-CN"/>
              </w:rPr>
              <w:t>-2.07</w:t>
            </w:r>
          </w:p>
        </w:tc>
      </w:tr>
    </w:tbl>
    <w:p w:rsidR="002F4B1A" w:rsidRDefault="002F4B1A" w:rsidP="00FB2303">
      <w:pPr>
        <w:jc w:val="both"/>
      </w:pPr>
    </w:p>
    <w:p w:rsidR="0015361A" w:rsidRDefault="002F4B1A" w:rsidP="00FB2303">
      <w:pPr>
        <w:jc w:val="both"/>
      </w:pPr>
      <w:r>
        <w:t xml:space="preserve">As shown in </w:t>
      </w:r>
      <w:fldSimple w:instr=" REF _Ref426457802 \h  \* MERGEFORMAT ">
        <w:r>
          <w:t xml:space="preserve">Table </w:t>
        </w:r>
        <w:r>
          <w:rPr>
            <w:noProof/>
          </w:rPr>
          <w:t>1</w:t>
        </w:r>
      </w:fldSimple>
      <w:r>
        <w:t>, the difference between the two interferer channels is quite small.  This indicates that there is no much values to change interfering channel, based our simulation.</w:t>
      </w:r>
    </w:p>
    <w:p w:rsidR="00B2367C" w:rsidRDefault="002F4B1A" w:rsidP="00FB2303">
      <w:pPr>
        <w:jc w:val="both"/>
        <w:rPr>
          <w:lang w:val="en-US"/>
        </w:rPr>
      </w:pPr>
      <w:r>
        <w:rPr>
          <w:lang w:val="en-US"/>
        </w:rPr>
        <w:t>Therefore, w</w:t>
      </w:r>
      <w:r w:rsidR="00B2367C">
        <w:rPr>
          <w:lang w:val="en-US"/>
        </w:rPr>
        <w:t>e have a slight preference to define 1PRB for the test, as specified in 36.104.</w:t>
      </w:r>
    </w:p>
    <w:p w:rsidR="00D16CB4" w:rsidRPr="00B2367C" w:rsidRDefault="00D16CB4" w:rsidP="00FB2303">
      <w:pPr>
        <w:jc w:val="both"/>
        <w:rPr>
          <w:lang w:val="en-US"/>
        </w:rPr>
      </w:pPr>
    </w:p>
    <w:p w:rsidR="009252ED" w:rsidRDefault="009252ED" w:rsidP="00FB2303">
      <w:pPr>
        <w:pStyle w:val="Heading3"/>
        <w:jc w:val="both"/>
        <w:rPr>
          <w:kern w:val="2"/>
          <w:lang w:val="en-US"/>
        </w:rPr>
      </w:pPr>
      <w:r>
        <w:rPr>
          <w:kern w:val="2"/>
          <w:lang w:val="en-US"/>
        </w:rPr>
        <w:t>3</w:t>
      </w:r>
      <w:r>
        <w:rPr>
          <w:kern w:val="2"/>
          <w:lang w:val="en-US"/>
        </w:rPr>
        <w:tab/>
        <w:t>Conclusions</w:t>
      </w:r>
    </w:p>
    <w:p w:rsidR="003457B1" w:rsidRDefault="00D16CB4" w:rsidP="003457B1">
      <w:pPr>
        <w:jc w:val="both"/>
        <w:rPr>
          <w:lang w:val="en-US"/>
        </w:rPr>
      </w:pPr>
      <w:r>
        <w:rPr>
          <w:lang w:val="en-US"/>
        </w:rPr>
        <w:t>Base</w:t>
      </w:r>
      <w:r w:rsidR="003457B1">
        <w:rPr>
          <w:lang w:val="en-US"/>
        </w:rPr>
        <w:t>d</w:t>
      </w:r>
      <w:r>
        <w:rPr>
          <w:lang w:val="en-US"/>
        </w:rPr>
        <w:t xml:space="preserve"> on our analysis on link level simulation results, </w:t>
      </w:r>
      <w:r w:rsidR="003457B1">
        <w:rPr>
          <w:lang w:val="en-US"/>
        </w:rPr>
        <w:t xml:space="preserve">we conclude that </w:t>
      </w:r>
    </w:p>
    <w:p w:rsidR="003457B1" w:rsidRPr="003457B1" w:rsidRDefault="003457B1" w:rsidP="003457B1">
      <w:pPr>
        <w:pStyle w:val="ListParagraph"/>
        <w:numPr>
          <w:ilvl w:val="0"/>
          <w:numId w:val="12"/>
        </w:numPr>
        <w:rPr>
          <w:sz w:val="20"/>
          <w:szCs w:val="20"/>
        </w:rPr>
      </w:pPr>
      <w:r w:rsidRPr="003457B1">
        <w:rPr>
          <w:sz w:val="20"/>
          <w:szCs w:val="20"/>
        </w:rPr>
        <w:lastRenderedPageBreak/>
        <w:t>S</w:t>
      </w:r>
      <w:r w:rsidR="00D16CB4" w:rsidRPr="003457B1">
        <w:rPr>
          <w:sz w:val="20"/>
          <w:szCs w:val="20"/>
        </w:rPr>
        <w:t xml:space="preserve">ome IRC gains </w:t>
      </w:r>
      <w:r w:rsidRPr="003457B1">
        <w:rPr>
          <w:sz w:val="20"/>
          <w:szCs w:val="20"/>
        </w:rPr>
        <w:t xml:space="preserve">are expected </w:t>
      </w:r>
      <w:r w:rsidR="00D16CB4" w:rsidRPr="003457B1">
        <w:rPr>
          <w:sz w:val="20"/>
          <w:szCs w:val="20"/>
        </w:rPr>
        <w:t>for “cell-edge” UEs with low SINR but relatively h</w:t>
      </w:r>
      <w:r w:rsidRPr="003457B1">
        <w:rPr>
          <w:sz w:val="20"/>
          <w:szCs w:val="20"/>
        </w:rPr>
        <w:t xml:space="preserve">igher DIP1, however, system-level gain of IRC is not clear.  </w:t>
      </w:r>
    </w:p>
    <w:p w:rsidR="009252ED" w:rsidRPr="003457B1" w:rsidRDefault="003457B1" w:rsidP="003457B1">
      <w:pPr>
        <w:pStyle w:val="ListParagraph"/>
        <w:numPr>
          <w:ilvl w:val="0"/>
          <w:numId w:val="12"/>
        </w:numPr>
        <w:rPr>
          <w:sz w:val="20"/>
          <w:szCs w:val="20"/>
        </w:rPr>
      </w:pPr>
      <w:r w:rsidRPr="003457B1">
        <w:rPr>
          <w:sz w:val="20"/>
          <w:szCs w:val="20"/>
        </w:rPr>
        <w:t>The theoretical maximum IRC gains are 8.4 dB and 12.8 dB for homogeneous network and het-net scenarios, respectively.</w:t>
      </w:r>
    </w:p>
    <w:p w:rsidR="003E12D1" w:rsidRPr="00904FFC" w:rsidRDefault="003457B1" w:rsidP="00FB2303">
      <w:pPr>
        <w:pStyle w:val="ListParagraph"/>
        <w:numPr>
          <w:ilvl w:val="0"/>
          <w:numId w:val="12"/>
        </w:numPr>
        <w:jc w:val="both"/>
      </w:pPr>
      <w:r w:rsidRPr="003457B1">
        <w:rPr>
          <w:sz w:val="20"/>
          <w:szCs w:val="20"/>
        </w:rPr>
        <w:t xml:space="preserve">This is </w:t>
      </w:r>
      <w:r w:rsidR="00904FFC">
        <w:rPr>
          <w:sz w:val="20"/>
          <w:szCs w:val="20"/>
        </w:rPr>
        <w:t>little performance difference between interfering EVA70 and interfering ETU70 channels</w:t>
      </w:r>
      <w:r w:rsidR="00F06679">
        <w:rPr>
          <w:sz w:val="20"/>
          <w:szCs w:val="20"/>
        </w:rPr>
        <w:t>, based on our implementation.</w:t>
      </w:r>
    </w:p>
    <w:p w:rsidR="00904FFC" w:rsidRPr="00F06679" w:rsidRDefault="00904FFC" w:rsidP="00904FFC">
      <w:pPr>
        <w:jc w:val="both"/>
        <w:rPr>
          <w:lang w:val="en-US"/>
        </w:rPr>
      </w:pPr>
    </w:p>
    <w:p w:rsidR="00904FFC" w:rsidRPr="00904FFC" w:rsidRDefault="00904FFC" w:rsidP="00904FFC">
      <w:pPr>
        <w:jc w:val="both"/>
      </w:pPr>
    </w:p>
    <w:p w:rsidR="00806888" w:rsidRDefault="00806888" w:rsidP="00FB2303">
      <w:pPr>
        <w:pStyle w:val="Heading1"/>
        <w:jc w:val="both"/>
        <w:rPr>
          <w:lang w:val="en-US"/>
        </w:rPr>
      </w:pPr>
      <w:r>
        <w:rPr>
          <w:rFonts w:hint="eastAsia"/>
          <w:lang w:val="en-US"/>
        </w:rPr>
        <w:t>Reference</w:t>
      </w:r>
    </w:p>
    <w:p w:rsidR="008228BB" w:rsidRDefault="008228BB" w:rsidP="00FB2303">
      <w:pPr>
        <w:ind w:left="720" w:hanging="720"/>
        <w:jc w:val="both"/>
        <w:rPr>
          <w:lang w:val="en-US"/>
        </w:rPr>
      </w:pPr>
      <w:r>
        <w:rPr>
          <w:lang w:val="en-US"/>
        </w:rPr>
        <w:t>[1]</w:t>
      </w:r>
      <w:r>
        <w:rPr>
          <w:lang w:val="en-US"/>
        </w:rPr>
        <w:tab/>
        <w:t>RP-142223</w:t>
      </w:r>
      <w:r>
        <w:rPr>
          <w:lang w:val="en-US"/>
        </w:rPr>
        <w:tab/>
      </w:r>
      <w:r w:rsidR="00FB4DBB">
        <w:rPr>
          <w:lang w:val="en-US"/>
        </w:rPr>
        <w:t>“</w:t>
      </w:r>
      <w:r w:rsidRPr="008228BB">
        <w:rPr>
          <w:lang w:val="en-US"/>
        </w:rPr>
        <w:t>New WI on performance requirements of MMSE-IRC receiver for LTE BS</w:t>
      </w:r>
      <w:r w:rsidR="00FB4DBB">
        <w:rPr>
          <w:lang w:val="en-US"/>
        </w:rPr>
        <w:t>”</w:t>
      </w:r>
      <w:r>
        <w:rPr>
          <w:lang w:val="en-US"/>
        </w:rPr>
        <w:t>, China Telecom, RAN #66, Dec 2014</w:t>
      </w:r>
    </w:p>
    <w:p w:rsidR="004217DF" w:rsidRDefault="004217DF" w:rsidP="00FB2303">
      <w:pPr>
        <w:ind w:left="720" w:hanging="720"/>
        <w:jc w:val="both"/>
        <w:rPr>
          <w:lang w:val="en-US"/>
        </w:rPr>
      </w:pPr>
      <w:r>
        <w:rPr>
          <w:lang w:val="en-US"/>
        </w:rPr>
        <w:t>[2]</w:t>
      </w:r>
      <w:r>
        <w:rPr>
          <w:lang w:val="en-US"/>
        </w:rPr>
        <w:tab/>
        <w:t>R4-153669</w:t>
      </w:r>
      <w:r>
        <w:rPr>
          <w:lang w:val="en-US"/>
        </w:rPr>
        <w:tab/>
        <w:t xml:space="preserve">“TP on link level performance evaluation”, </w:t>
      </w:r>
      <w:proofErr w:type="spellStart"/>
      <w:r w:rsidRPr="004217DF">
        <w:rPr>
          <w:lang w:val="en-US"/>
        </w:rPr>
        <w:t>Huawei</w:t>
      </w:r>
      <w:proofErr w:type="spellEnd"/>
      <w:r w:rsidRPr="004217DF">
        <w:rPr>
          <w:lang w:val="en-US"/>
        </w:rPr>
        <w:t>, China Telecom, ZTE, Samsung, Nokia networks, Alcatel-Lucent</w:t>
      </w:r>
      <w:r>
        <w:rPr>
          <w:lang w:val="en-US"/>
        </w:rPr>
        <w:t>, RAN</w:t>
      </w:r>
      <w:r w:rsidR="00D16CB4">
        <w:rPr>
          <w:lang w:val="en-US"/>
        </w:rPr>
        <w:t>4</w:t>
      </w:r>
      <w:r>
        <w:rPr>
          <w:lang w:val="en-US"/>
        </w:rPr>
        <w:t xml:space="preserve"> #75, May 2015</w:t>
      </w:r>
    </w:p>
    <w:p w:rsidR="00E61132" w:rsidRDefault="00E61132" w:rsidP="00FB2303">
      <w:pPr>
        <w:ind w:left="720" w:hanging="720"/>
        <w:jc w:val="both"/>
        <w:rPr>
          <w:lang w:val="en-US"/>
        </w:rPr>
      </w:pPr>
      <w:r>
        <w:rPr>
          <w:lang w:val="en-US"/>
        </w:rPr>
        <w:t>[3]</w:t>
      </w:r>
      <w:r>
        <w:rPr>
          <w:lang w:val="en-US"/>
        </w:rPr>
        <w:tab/>
        <w:t>R4-15xxxx</w:t>
      </w:r>
      <w:r>
        <w:rPr>
          <w:lang w:val="en-US"/>
        </w:rPr>
        <w:tab/>
        <w:t>“Link level simulation results”</w:t>
      </w:r>
      <w:r w:rsidR="00D16CB4">
        <w:rPr>
          <w:lang w:val="en-US"/>
        </w:rPr>
        <w:t>, Nokia Networks, RAN4 #76, August 2015</w:t>
      </w:r>
    </w:p>
    <w:p w:rsidR="00D16CB4" w:rsidRDefault="00D16CB4" w:rsidP="00FB2303">
      <w:pPr>
        <w:ind w:left="720" w:hanging="720"/>
        <w:jc w:val="both"/>
        <w:rPr>
          <w:lang w:val="en-US"/>
        </w:rPr>
      </w:pPr>
      <w:r>
        <w:rPr>
          <w:lang w:val="en-US"/>
        </w:rPr>
        <w:t>[4]</w:t>
      </w:r>
      <w:r>
        <w:rPr>
          <w:lang w:val="en-US"/>
        </w:rPr>
        <w:tab/>
        <w:t>R4-153667</w:t>
      </w:r>
      <w:r>
        <w:rPr>
          <w:lang w:val="en-US"/>
        </w:rPr>
        <w:tab/>
        <w:t xml:space="preserve">“TP on UL-IRC baseline receiver”, Nokia Networks, China Telecom, </w:t>
      </w:r>
      <w:proofErr w:type="spellStart"/>
      <w:r>
        <w:rPr>
          <w:lang w:val="en-US"/>
        </w:rPr>
        <w:t>Huawei</w:t>
      </w:r>
      <w:proofErr w:type="spellEnd"/>
      <w:r>
        <w:rPr>
          <w:lang w:val="en-US"/>
        </w:rPr>
        <w:t>, ZTE, Samsung, RAN4 #75, May 2015</w:t>
      </w:r>
    </w:p>
    <w:p w:rsidR="00D16CB4" w:rsidRDefault="00D16CB4" w:rsidP="00FB2303">
      <w:pPr>
        <w:ind w:left="720" w:hanging="720"/>
        <w:jc w:val="both"/>
        <w:rPr>
          <w:lang w:val="en-US"/>
        </w:rPr>
      </w:pPr>
      <w:r>
        <w:rPr>
          <w:lang w:val="en-US"/>
        </w:rPr>
        <w:t>[5]</w:t>
      </w:r>
      <w:r>
        <w:rPr>
          <w:lang w:val="en-US"/>
        </w:rPr>
        <w:tab/>
        <w:t>R4-153164</w:t>
      </w:r>
      <w:r>
        <w:rPr>
          <w:lang w:val="en-US"/>
        </w:rPr>
        <w:tab/>
        <w:t>“Discussion on link level parameters for BS MMSE-IRC”, ZTE, RAN4 #75, May 2015</w:t>
      </w:r>
    </w:p>
    <w:p w:rsidR="00D16CB4" w:rsidRDefault="00D16CB4" w:rsidP="00FB2303">
      <w:pPr>
        <w:ind w:left="720" w:hanging="720"/>
        <w:jc w:val="both"/>
        <w:rPr>
          <w:lang w:val="en-US"/>
        </w:rPr>
      </w:pPr>
    </w:p>
    <w:p w:rsidR="00707B12" w:rsidRDefault="00707B12" w:rsidP="00904FFC">
      <w:pPr>
        <w:jc w:val="both"/>
        <w:rPr>
          <w:lang w:val="en-US"/>
        </w:rPr>
      </w:pPr>
    </w:p>
    <w:sectPr w:rsidR="00707B12" w:rsidSect="003D5E11">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0CDC" w:rsidRDefault="00D40CDC" w:rsidP="0099206E">
      <w:r>
        <w:separator/>
      </w:r>
    </w:p>
  </w:endnote>
  <w:endnote w:type="continuationSeparator" w:id="0">
    <w:p w:rsidR="00D40CDC" w:rsidRDefault="00D40CDC" w:rsidP="0099206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00000000" w:usb2="0100040E"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0CDC" w:rsidRDefault="00D40CDC" w:rsidP="0099206E">
      <w:r>
        <w:separator/>
      </w:r>
    </w:p>
  </w:footnote>
  <w:footnote w:type="continuationSeparator" w:id="0">
    <w:p w:rsidR="00D40CDC" w:rsidRDefault="00D40CDC" w:rsidP="009920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187F08"/>
    <w:multiLevelType w:val="hybridMultilevel"/>
    <w:tmpl w:val="6C14976E"/>
    <w:lvl w:ilvl="0" w:tplc="BB38FCD0">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2D834727"/>
    <w:multiLevelType w:val="hybridMultilevel"/>
    <w:tmpl w:val="C7EC2EC8"/>
    <w:lvl w:ilvl="0" w:tplc="D608AED6">
      <w:start w:val="3"/>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012714E"/>
    <w:multiLevelType w:val="hybridMultilevel"/>
    <w:tmpl w:val="C1A2E7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2012C5"/>
    <w:multiLevelType w:val="hybridMultilevel"/>
    <w:tmpl w:val="8B8C0EE4"/>
    <w:lvl w:ilvl="0" w:tplc="AF90ADF8">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E004E43"/>
    <w:multiLevelType w:val="hybridMultilevel"/>
    <w:tmpl w:val="4350E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38A297E"/>
    <w:multiLevelType w:val="hybridMultilevel"/>
    <w:tmpl w:val="6AB631FC"/>
    <w:lvl w:ilvl="0" w:tplc="5E7E6C98">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B866537"/>
    <w:multiLevelType w:val="hybridMultilevel"/>
    <w:tmpl w:val="75522AA2"/>
    <w:lvl w:ilvl="0" w:tplc="D608AED6">
      <w:start w:val="3"/>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9">
    <w:nsid w:val="64F42C6E"/>
    <w:multiLevelType w:val="hybridMultilevel"/>
    <w:tmpl w:val="ABFA3646"/>
    <w:lvl w:ilvl="0" w:tplc="0D70D6DE">
      <w:start w:val="3"/>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51F78DA"/>
    <w:multiLevelType w:val="hybridMultilevel"/>
    <w:tmpl w:val="B9380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7BA6553"/>
    <w:multiLevelType w:val="hybridMultilevel"/>
    <w:tmpl w:val="B7F4B828"/>
    <w:lvl w:ilvl="0" w:tplc="7C1C9FEE">
      <w:start w:val="1"/>
      <w:numFmt w:val="bullet"/>
      <w:lvlText w:val="•"/>
      <w:lvlJc w:val="left"/>
      <w:pPr>
        <w:tabs>
          <w:tab w:val="num" w:pos="720"/>
        </w:tabs>
        <w:ind w:left="720" w:hanging="360"/>
      </w:pPr>
      <w:rPr>
        <w:rFonts w:ascii="Arial" w:hAnsi="Arial" w:hint="default"/>
      </w:rPr>
    </w:lvl>
    <w:lvl w:ilvl="1" w:tplc="E8E0747E">
      <w:start w:val="2703"/>
      <w:numFmt w:val="bullet"/>
      <w:lvlText w:val="–"/>
      <w:lvlJc w:val="left"/>
      <w:pPr>
        <w:tabs>
          <w:tab w:val="num" w:pos="1440"/>
        </w:tabs>
        <w:ind w:left="1440" w:hanging="360"/>
      </w:pPr>
      <w:rPr>
        <w:rFonts w:ascii="Arial" w:hAnsi="Arial" w:hint="default"/>
      </w:rPr>
    </w:lvl>
    <w:lvl w:ilvl="2" w:tplc="66D674AE">
      <w:start w:val="2703"/>
      <w:numFmt w:val="bullet"/>
      <w:lvlText w:val=""/>
      <w:lvlJc w:val="left"/>
      <w:pPr>
        <w:tabs>
          <w:tab w:val="num" w:pos="2160"/>
        </w:tabs>
        <w:ind w:left="2160" w:hanging="360"/>
      </w:pPr>
      <w:rPr>
        <w:rFonts w:ascii="Wingdings" w:hAnsi="Wingdings" w:hint="default"/>
      </w:rPr>
    </w:lvl>
    <w:lvl w:ilvl="3" w:tplc="A0C67AFC" w:tentative="1">
      <w:start w:val="1"/>
      <w:numFmt w:val="bullet"/>
      <w:lvlText w:val="•"/>
      <w:lvlJc w:val="left"/>
      <w:pPr>
        <w:tabs>
          <w:tab w:val="num" w:pos="2880"/>
        </w:tabs>
        <w:ind w:left="2880" w:hanging="360"/>
      </w:pPr>
      <w:rPr>
        <w:rFonts w:ascii="Arial" w:hAnsi="Arial" w:hint="default"/>
      </w:rPr>
    </w:lvl>
    <w:lvl w:ilvl="4" w:tplc="72D4C4C6" w:tentative="1">
      <w:start w:val="1"/>
      <w:numFmt w:val="bullet"/>
      <w:lvlText w:val="•"/>
      <w:lvlJc w:val="left"/>
      <w:pPr>
        <w:tabs>
          <w:tab w:val="num" w:pos="3600"/>
        </w:tabs>
        <w:ind w:left="3600" w:hanging="360"/>
      </w:pPr>
      <w:rPr>
        <w:rFonts w:ascii="Arial" w:hAnsi="Arial" w:hint="default"/>
      </w:rPr>
    </w:lvl>
    <w:lvl w:ilvl="5" w:tplc="69FEA5DC" w:tentative="1">
      <w:start w:val="1"/>
      <w:numFmt w:val="bullet"/>
      <w:lvlText w:val="•"/>
      <w:lvlJc w:val="left"/>
      <w:pPr>
        <w:tabs>
          <w:tab w:val="num" w:pos="4320"/>
        </w:tabs>
        <w:ind w:left="4320" w:hanging="360"/>
      </w:pPr>
      <w:rPr>
        <w:rFonts w:ascii="Arial" w:hAnsi="Arial" w:hint="default"/>
      </w:rPr>
    </w:lvl>
    <w:lvl w:ilvl="6" w:tplc="80DE6CBC" w:tentative="1">
      <w:start w:val="1"/>
      <w:numFmt w:val="bullet"/>
      <w:lvlText w:val="•"/>
      <w:lvlJc w:val="left"/>
      <w:pPr>
        <w:tabs>
          <w:tab w:val="num" w:pos="5040"/>
        </w:tabs>
        <w:ind w:left="5040" w:hanging="360"/>
      </w:pPr>
      <w:rPr>
        <w:rFonts w:ascii="Arial" w:hAnsi="Arial" w:hint="default"/>
      </w:rPr>
    </w:lvl>
    <w:lvl w:ilvl="7" w:tplc="D2D034C2" w:tentative="1">
      <w:start w:val="1"/>
      <w:numFmt w:val="bullet"/>
      <w:lvlText w:val="•"/>
      <w:lvlJc w:val="left"/>
      <w:pPr>
        <w:tabs>
          <w:tab w:val="num" w:pos="5760"/>
        </w:tabs>
        <w:ind w:left="5760" w:hanging="360"/>
      </w:pPr>
      <w:rPr>
        <w:rFonts w:ascii="Arial" w:hAnsi="Arial" w:hint="default"/>
      </w:rPr>
    </w:lvl>
    <w:lvl w:ilvl="8" w:tplc="58C884EE"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8"/>
  </w:num>
  <w:num w:numId="3">
    <w:abstractNumId w:val="1"/>
  </w:num>
  <w:num w:numId="4">
    <w:abstractNumId w:val="6"/>
  </w:num>
  <w:num w:numId="5">
    <w:abstractNumId w:val="11"/>
  </w:num>
  <w:num w:numId="6">
    <w:abstractNumId w:val="5"/>
  </w:num>
  <w:num w:numId="7">
    <w:abstractNumId w:val="0"/>
  </w:num>
  <w:num w:numId="8">
    <w:abstractNumId w:val="10"/>
  </w:num>
  <w:num w:numId="9">
    <w:abstractNumId w:val="3"/>
  </w:num>
  <w:num w:numId="10">
    <w:abstractNumId w:val="9"/>
  </w:num>
  <w:num w:numId="11">
    <w:abstractNumId w:val="2"/>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6146">
      <v:textbox inset="5.85pt,.7pt,5.85pt,.7pt"/>
    </o:shapedefaults>
  </w:hdrShapeDefaults>
  <w:footnotePr>
    <w:footnote w:id="-1"/>
    <w:footnote w:id="0"/>
  </w:footnotePr>
  <w:endnotePr>
    <w:endnote w:id="-1"/>
    <w:endnote w:id="0"/>
  </w:endnotePr>
  <w:compat>
    <w:useFELayout/>
  </w:compat>
  <w:rsids>
    <w:rsidRoot w:val="00C62060"/>
    <w:rsid w:val="00005D55"/>
    <w:rsid w:val="00010225"/>
    <w:rsid w:val="00010256"/>
    <w:rsid w:val="00015187"/>
    <w:rsid w:val="00015AE5"/>
    <w:rsid w:val="00015B1F"/>
    <w:rsid w:val="00016AB9"/>
    <w:rsid w:val="000171ED"/>
    <w:rsid w:val="00017818"/>
    <w:rsid w:val="000221C4"/>
    <w:rsid w:val="00023174"/>
    <w:rsid w:val="00026B95"/>
    <w:rsid w:val="00031110"/>
    <w:rsid w:val="0003373D"/>
    <w:rsid w:val="00033D97"/>
    <w:rsid w:val="00035F05"/>
    <w:rsid w:val="000401DC"/>
    <w:rsid w:val="0004460E"/>
    <w:rsid w:val="000454CF"/>
    <w:rsid w:val="00051024"/>
    <w:rsid w:val="00052632"/>
    <w:rsid w:val="00052E51"/>
    <w:rsid w:val="0005598F"/>
    <w:rsid w:val="00060D52"/>
    <w:rsid w:val="000701CE"/>
    <w:rsid w:val="00072F99"/>
    <w:rsid w:val="00074B5C"/>
    <w:rsid w:val="00076C8B"/>
    <w:rsid w:val="0008092C"/>
    <w:rsid w:val="000835CC"/>
    <w:rsid w:val="00083D29"/>
    <w:rsid w:val="00084A56"/>
    <w:rsid w:val="00085C29"/>
    <w:rsid w:val="0008720E"/>
    <w:rsid w:val="000917F5"/>
    <w:rsid w:val="0009198D"/>
    <w:rsid w:val="0009423E"/>
    <w:rsid w:val="00094C9F"/>
    <w:rsid w:val="00094EC4"/>
    <w:rsid w:val="00095F8A"/>
    <w:rsid w:val="00097663"/>
    <w:rsid w:val="000979E4"/>
    <w:rsid w:val="000A1243"/>
    <w:rsid w:val="000A2357"/>
    <w:rsid w:val="000A6D6F"/>
    <w:rsid w:val="000B3270"/>
    <w:rsid w:val="000B36A2"/>
    <w:rsid w:val="000B5A58"/>
    <w:rsid w:val="000B7356"/>
    <w:rsid w:val="000C101E"/>
    <w:rsid w:val="000C1AF4"/>
    <w:rsid w:val="000C2A8E"/>
    <w:rsid w:val="000C2CAF"/>
    <w:rsid w:val="000C3136"/>
    <w:rsid w:val="000C38BD"/>
    <w:rsid w:val="000C53D0"/>
    <w:rsid w:val="000C68FC"/>
    <w:rsid w:val="000C6B63"/>
    <w:rsid w:val="000C7263"/>
    <w:rsid w:val="000C7AAB"/>
    <w:rsid w:val="000C7E7D"/>
    <w:rsid w:val="000D316D"/>
    <w:rsid w:val="000D453B"/>
    <w:rsid w:val="000D53D3"/>
    <w:rsid w:val="000D66BA"/>
    <w:rsid w:val="000E2274"/>
    <w:rsid w:val="000E4C66"/>
    <w:rsid w:val="000F10FE"/>
    <w:rsid w:val="000F17A3"/>
    <w:rsid w:val="000F182B"/>
    <w:rsid w:val="000F3563"/>
    <w:rsid w:val="000F59A9"/>
    <w:rsid w:val="000F6D84"/>
    <w:rsid w:val="000F7376"/>
    <w:rsid w:val="000F7A74"/>
    <w:rsid w:val="00100AD2"/>
    <w:rsid w:val="00101457"/>
    <w:rsid w:val="00101C3E"/>
    <w:rsid w:val="00102F8A"/>
    <w:rsid w:val="001036B5"/>
    <w:rsid w:val="00104D17"/>
    <w:rsid w:val="001051F6"/>
    <w:rsid w:val="00105795"/>
    <w:rsid w:val="001063FD"/>
    <w:rsid w:val="00106A79"/>
    <w:rsid w:val="001076BD"/>
    <w:rsid w:val="00110E73"/>
    <w:rsid w:val="00111D74"/>
    <w:rsid w:val="00113B25"/>
    <w:rsid w:val="001154B8"/>
    <w:rsid w:val="00115F2A"/>
    <w:rsid w:val="00117957"/>
    <w:rsid w:val="00117C7C"/>
    <w:rsid w:val="001251D9"/>
    <w:rsid w:val="0013043E"/>
    <w:rsid w:val="00130572"/>
    <w:rsid w:val="00132492"/>
    <w:rsid w:val="00132625"/>
    <w:rsid w:val="00132957"/>
    <w:rsid w:val="001338AF"/>
    <w:rsid w:val="001369BA"/>
    <w:rsid w:val="001409E2"/>
    <w:rsid w:val="00140DDC"/>
    <w:rsid w:val="00141C57"/>
    <w:rsid w:val="00146C6F"/>
    <w:rsid w:val="00150523"/>
    <w:rsid w:val="00152E6C"/>
    <w:rsid w:val="0015361A"/>
    <w:rsid w:val="0015394C"/>
    <w:rsid w:val="001573C8"/>
    <w:rsid w:val="00170648"/>
    <w:rsid w:val="001712C3"/>
    <w:rsid w:val="00172B1C"/>
    <w:rsid w:val="001733C9"/>
    <w:rsid w:val="00176C30"/>
    <w:rsid w:val="00182A56"/>
    <w:rsid w:val="001843F8"/>
    <w:rsid w:val="00184D3C"/>
    <w:rsid w:val="001909A5"/>
    <w:rsid w:val="00191DC8"/>
    <w:rsid w:val="0019266D"/>
    <w:rsid w:val="001926EA"/>
    <w:rsid w:val="001930CE"/>
    <w:rsid w:val="00193740"/>
    <w:rsid w:val="00197E6A"/>
    <w:rsid w:val="001A15D5"/>
    <w:rsid w:val="001A16F7"/>
    <w:rsid w:val="001A368D"/>
    <w:rsid w:val="001A3697"/>
    <w:rsid w:val="001A39FF"/>
    <w:rsid w:val="001A7153"/>
    <w:rsid w:val="001A778A"/>
    <w:rsid w:val="001A7CD1"/>
    <w:rsid w:val="001B1EE4"/>
    <w:rsid w:val="001B2FD4"/>
    <w:rsid w:val="001C001A"/>
    <w:rsid w:val="001C3B3E"/>
    <w:rsid w:val="001C4367"/>
    <w:rsid w:val="001C5057"/>
    <w:rsid w:val="001C5133"/>
    <w:rsid w:val="001C6583"/>
    <w:rsid w:val="001C6F4C"/>
    <w:rsid w:val="001C7B36"/>
    <w:rsid w:val="001D0526"/>
    <w:rsid w:val="001D0E6E"/>
    <w:rsid w:val="001D405F"/>
    <w:rsid w:val="001D5986"/>
    <w:rsid w:val="001D6348"/>
    <w:rsid w:val="001D6CAC"/>
    <w:rsid w:val="001E081F"/>
    <w:rsid w:val="001E29E4"/>
    <w:rsid w:val="001E2F75"/>
    <w:rsid w:val="001E430C"/>
    <w:rsid w:val="001E6C54"/>
    <w:rsid w:val="001E7084"/>
    <w:rsid w:val="001E796A"/>
    <w:rsid w:val="001F0A02"/>
    <w:rsid w:val="001F2FA4"/>
    <w:rsid w:val="001F3438"/>
    <w:rsid w:val="001F7AF1"/>
    <w:rsid w:val="0020031D"/>
    <w:rsid w:val="00200FFD"/>
    <w:rsid w:val="00201700"/>
    <w:rsid w:val="00203A11"/>
    <w:rsid w:val="002051CE"/>
    <w:rsid w:val="00206E2B"/>
    <w:rsid w:val="0020793A"/>
    <w:rsid w:val="002131AC"/>
    <w:rsid w:val="00215315"/>
    <w:rsid w:val="0021724B"/>
    <w:rsid w:val="00221416"/>
    <w:rsid w:val="00221895"/>
    <w:rsid w:val="00221BD9"/>
    <w:rsid w:val="00223FE6"/>
    <w:rsid w:val="00225EE5"/>
    <w:rsid w:val="002276C9"/>
    <w:rsid w:val="002321FD"/>
    <w:rsid w:val="0023390F"/>
    <w:rsid w:val="00234960"/>
    <w:rsid w:val="002403D2"/>
    <w:rsid w:val="00240F21"/>
    <w:rsid w:val="0024152E"/>
    <w:rsid w:val="00245A91"/>
    <w:rsid w:val="0025066F"/>
    <w:rsid w:val="002513AD"/>
    <w:rsid w:val="002518C9"/>
    <w:rsid w:val="00254FC8"/>
    <w:rsid w:val="002618A3"/>
    <w:rsid w:val="00262C32"/>
    <w:rsid w:val="00263663"/>
    <w:rsid w:val="00264BD4"/>
    <w:rsid w:val="00266078"/>
    <w:rsid w:val="002666DF"/>
    <w:rsid w:val="00266DC9"/>
    <w:rsid w:val="002670CD"/>
    <w:rsid w:val="002702C1"/>
    <w:rsid w:val="00273F93"/>
    <w:rsid w:val="00274088"/>
    <w:rsid w:val="00280712"/>
    <w:rsid w:val="0028077C"/>
    <w:rsid w:val="002807D6"/>
    <w:rsid w:val="002809FE"/>
    <w:rsid w:val="00280C7C"/>
    <w:rsid w:val="00280F28"/>
    <w:rsid w:val="002813AA"/>
    <w:rsid w:val="00282815"/>
    <w:rsid w:val="002831E1"/>
    <w:rsid w:val="00283E8E"/>
    <w:rsid w:val="00285ED9"/>
    <w:rsid w:val="00286AD4"/>
    <w:rsid w:val="00287D40"/>
    <w:rsid w:val="00293475"/>
    <w:rsid w:val="0029743E"/>
    <w:rsid w:val="002978A5"/>
    <w:rsid w:val="002A0402"/>
    <w:rsid w:val="002A569A"/>
    <w:rsid w:val="002A5F7B"/>
    <w:rsid w:val="002A60FB"/>
    <w:rsid w:val="002B0302"/>
    <w:rsid w:val="002B1763"/>
    <w:rsid w:val="002B7B7F"/>
    <w:rsid w:val="002C21BA"/>
    <w:rsid w:val="002C4CA0"/>
    <w:rsid w:val="002C7A6C"/>
    <w:rsid w:val="002C7A74"/>
    <w:rsid w:val="002D0BAC"/>
    <w:rsid w:val="002D15EB"/>
    <w:rsid w:val="002D21B9"/>
    <w:rsid w:val="002D2D2E"/>
    <w:rsid w:val="002D6281"/>
    <w:rsid w:val="002F1A43"/>
    <w:rsid w:val="002F4B1A"/>
    <w:rsid w:val="002F4E33"/>
    <w:rsid w:val="002F70F4"/>
    <w:rsid w:val="002F7218"/>
    <w:rsid w:val="002F77E2"/>
    <w:rsid w:val="0030266B"/>
    <w:rsid w:val="00303CB4"/>
    <w:rsid w:val="0030466E"/>
    <w:rsid w:val="00304DA3"/>
    <w:rsid w:val="003071B4"/>
    <w:rsid w:val="00312BE4"/>
    <w:rsid w:val="00313AD3"/>
    <w:rsid w:val="00317E53"/>
    <w:rsid w:val="003216CA"/>
    <w:rsid w:val="00323484"/>
    <w:rsid w:val="0032368C"/>
    <w:rsid w:val="00323EEF"/>
    <w:rsid w:val="003271FC"/>
    <w:rsid w:val="0033127B"/>
    <w:rsid w:val="00333864"/>
    <w:rsid w:val="00337E10"/>
    <w:rsid w:val="00340FD7"/>
    <w:rsid w:val="003457B1"/>
    <w:rsid w:val="003551D9"/>
    <w:rsid w:val="00355B87"/>
    <w:rsid w:val="003578F5"/>
    <w:rsid w:val="00362FBF"/>
    <w:rsid w:val="00365E16"/>
    <w:rsid w:val="003662E5"/>
    <w:rsid w:val="0036653A"/>
    <w:rsid w:val="003666DA"/>
    <w:rsid w:val="00366ED2"/>
    <w:rsid w:val="003713AB"/>
    <w:rsid w:val="0037238C"/>
    <w:rsid w:val="003751B1"/>
    <w:rsid w:val="00376F13"/>
    <w:rsid w:val="00377FDE"/>
    <w:rsid w:val="00380423"/>
    <w:rsid w:val="003809A3"/>
    <w:rsid w:val="00390461"/>
    <w:rsid w:val="00395770"/>
    <w:rsid w:val="00395ADA"/>
    <w:rsid w:val="003A02A4"/>
    <w:rsid w:val="003A2A39"/>
    <w:rsid w:val="003A2C89"/>
    <w:rsid w:val="003A2E1F"/>
    <w:rsid w:val="003B528F"/>
    <w:rsid w:val="003B60AB"/>
    <w:rsid w:val="003C6804"/>
    <w:rsid w:val="003C7562"/>
    <w:rsid w:val="003D1A7A"/>
    <w:rsid w:val="003D1AB1"/>
    <w:rsid w:val="003D1F58"/>
    <w:rsid w:val="003D2696"/>
    <w:rsid w:val="003D58E0"/>
    <w:rsid w:val="003D5E11"/>
    <w:rsid w:val="003D62C4"/>
    <w:rsid w:val="003E0CAD"/>
    <w:rsid w:val="003E0D2E"/>
    <w:rsid w:val="003E12D1"/>
    <w:rsid w:val="003E1375"/>
    <w:rsid w:val="003E2286"/>
    <w:rsid w:val="003E279E"/>
    <w:rsid w:val="003E2FF4"/>
    <w:rsid w:val="003E3AEA"/>
    <w:rsid w:val="003F0B60"/>
    <w:rsid w:val="003F1F33"/>
    <w:rsid w:val="003F60D5"/>
    <w:rsid w:val="003F7C20"/>
    <w:rsid w:val="004013B7"/>
    <w:rsid w:val="004018E5"/>
    <w:rsid w:val="00402E1F"/>
    <w:rsid w:val="00402E57"/>
    <w:rsid w:val="00403EAB"/>
    <w:rsid w:val="00404795"/>
    <w:rsid w:val="00404D08"/>
    <w:rsid w:val="0040669C"/>
    <w:rsid w:val="00406ACA"/>
    <w:rsid w:val="00406B68"/>
    <w:rsid w:val="0041255A"/>
    <w:rsid w:val="00413444"/>
    <w:rsid w:val="00414FB0"/>
    <w:rsid w:val="004162C7"/>
    <w:rsid w:val="004177A7"/>
    <w:rsid w:val="00417879"/>
    <w:rsid w:val="004217DF"/>
    <w:rsid w:val="0042212D"/>
    <w:rsid w:val="00424404"/>
    <w:rsid w:val="00424BBB"/>
    <w:rsid w:val="004256D6"/>
    <w:rsid w:val="00426814"/>
    <w:rsid w:val="00427115"/>
    <w:rsid w:val="004275EF"/>
    <w:rsid w:val="00427A27"/>
    <w:rsid w:val="004312B8"/>
    <w:rsid w:val="00432C79"/>
    <w:rsid w:val="00433DE2"/>
    <w:rsid w:val="00434B3B"/>
    <w:rsid w:val="00436BC7"/>
    <w:rsid w:val="00441571"/>
    <w:rsid w:val="00441C4A"/>
    <w:rsid w:val="00442121"/>
    <w:rsid w:val="00443B01"/>
    <w:rsid w:val="00444593"/>
    <w:rsid w:val="00444804"/>
    <w:rsid w:val="004448E1"/>
    <w:rsid w:val="00444DF3"/>
    <w:rsid w:val="00446BF9"/>
    <w:rsid w:val="00446D24"/>
    <w:rsid w:val="00451173"/>
    <w:rsid w:val="00451714"/>
    <w:rsid w:val="00455741"/>
    <w:rsid w:val="004564F4"/>
    <w:rsid w:val="004568B9"/>
    <w:rsid w:val="00463497"/>
    <w:rsid w:val="004641F1"/>
    <w:rsid w:val="00464996"/>
    <w:rsid w:val="004677A9"/>
    <w:rsid w:val="004714B7"/>
    <w:rsid w:val="00471C85"/>
    <w:rsid w:val="004747C6"/>
    <w:rsid w:val="004751C3"/>
    <w:rsid w:val="004760AC"/>
    <w:rsid w:val="0047610B"/>
    <w:rsid w:val="0047713C"/>
    <w:rsid w:val="004777FD"/>
    <w:rsid w:val="004802FA"/>
    <w:rsid w:val="00482213"/>
    <w:rsid w:val="00482FA8"/>
    <w:rsid w:val="00483A47"/>
    <w:rsid w:val="00485C58"/>
    <w:rsid w:val="004919A7"/>
    <w:rsid w:val="004919D0"/>
    <w:rsid w:val="0049288D"/>
    <w:rsid w:val="00492B0C"/>
    <w:rsid w:val="00494AD5"/>
    <w:rsid w:val="00494BD7"/>
    <w:rsid w:val="004A024C"/>
    <w:rsid w:val="004A03D0"/>
    <w:rsid w:val="004A51F5"/>
    <w:rsid w:val="004A5F75"/>
    <w:rsid w:val="004B2294"/>
    <w:rsid w:val="004B54AC"/>
    <w:rsid w:val="004C0C91"/>
    <w:rsid w:val="004C0F6A"/>
    <w:rsid w:val="004C3FF3"/>
    <w:rsid w:val="004D24BE"/>
    <w:rsid w:val="004D5B9A"/>
    <w:rsid w:val="004D65FF"/>
    <w:rsid w:val="004D69E6"/>
    <w:rsid w:val="004D7669"/>
    <w:rsid w:val="004E5382"/>
    <w:rsid w:val="004E7D32"/>
    <w:rsid w:val="004F3119"/>
    <w:rsid w:val="004F4980"/>
    <w:rsid w:val="004F4EA5"/>
    <w:rsid w:val="004F53C8"/>
    <w:rsid w:val="004F794F"/>
    <w:rsid w:val="00501EB6"/>
    <w:rsid w:val="005079C6"/>
    <w:rsid w:val="00511100"/>
    <w:rsid w:val="00520448"/>
    <w:rsid w:val="00520B92"/>
    <w:rsid w:val="0052229F"/>
    <w:rsid w:val="005232D2"/>
    <w:rsid w:val="005243BB"/>
    <w:rsid w:val="005267B5"/>
    <w:rsid w:val="0052707C"/>
    <w:rsid w:val="005270E1"/>
    <w:rsid w:val="005275CA"/>
    <w:rsid w:val="00536F07"/>
    <w:rsid w:val="0054735E"/>
    <w:rsid w:val="00547D6A"/>
    <w:rsid w:val="0055096E"/>
    <w:rsid w:val="00551A87"/>
    <w:rsid w:val="00553FA2"/>
    <w:rsid w:val="005551B4"/>
    <w:rsid w:val="00555351"/>
    <w:rsid w:val="0055699C"/>
    <w:rsid w:val="0055757F"/>
    <w:rsid w:val="00563878"/>
    <w:rsid w:val="00563EF0"/>
    <w:rsid w:val="00564A3B"/>
    <w:rsid w:val="00566561"/>
    <w:rsid w:val="00572630"/>
    <w:rsid w:val="005736BF"/>
    <w:rsid w:val="00576392"/>
    <w:rsid w:val="005777DB"/>
    <w:rsid w:val="005806AC"/>
    <w:rsid w:val="00580888"/>
    <w:rsid w:val="00582658"/>
    <w:rsid w:val="005870AF"/>
    <w:rsid w:val="0058728C"/>
    <w:rsid w:val="00587527"/>
    <w:rsid w:val="005923FB"/>
    <w:rsid w:val="00593093"/>
    <w:rsid w:val="00595581"/>
    <w:rsid w:val="00596274"/>
    <w:rsid w:val="005A21E6"/>
    <w:rsid w:val="005A5274"/>
    <w:rsid w:val="005A5897"/>
    <w:rsid w:val="005A6336"/>
    <w:rsid w:val="005A6DDF"/>
    <w:rsid w:val="005B2DBE"/>
    <w:rsid w:val="005B31F1"/>
    <w:rsid w:val="005B3306"/>
    <w:rsid w:val="005B4C8C"/>
    <w:rsid w:val="005B7C4A"/>
    <w:rsid w:val="005C15C6"/>
    <w:rsid w:val="005C2756"/>
    <w:rsid w:val="005C34EF"/>
    <w:rsid w:val="005C3B89"/>
    <w:rsid w:val="005C43F1"/>
    <w:rsid w:val="005C6380"/>
    <w:rsid w:val="005C67F7"/>
    <w:rsid w:val="005D085B"/>
    <w:rsid w:val="005D0B0F"/>
    <w:rsid w:val="005D0FDA"/>
    <w:rsid w:val="005D44A8"/>
    <w:rsid w:val="005D4D58"/>
    <w:rsid w:val="005D60D7"/>
    <w:rsid w:val="005E20AB"/>
    <w:rsid w:val="005E2C3E"/>
    <w:rsid w:val="005E310B"/>
    <w:rsid w:val="005E4373"/>
    <w:rsid w:val="005E4FCA"/>
    <w:rsid w:val="005E5649"/>
    <w:rsid w:val="005E6196"/>
    <w:rsid w:val="005F044F"/>
    <w:rsid w:val="005F04F4"/>
    <w:rsid w:val="005F3878"/>
    <w:rsid w:val="005F4786"/>
    <w:rsid w:val="005F4EC3"/>
    <w:rsid w:val="005F7A29"/>
    <w:rsid w:val="00601025"/>
    <w:rsid w:val="0060301D"/>
    <w:rsid w:val="00612E95"/>
    <w:rsid w:val="006138E3"/>
    <w:rsid w:val="00615210"/>
    <w:rsid w:val="00615462"/>
    <w:rsid w:val="00615A02"/>
    <w:rsid w:val="00621F74"/>
    <w:rsid w:val="006246CA"/>
    <w:rsid w:val="00627A04"/>
    <w:rsid w:val="00631DF1"/>
    <w:rsid w:val="00631EB7"/>
    <w:rsid w:val="0063363E"/>
    <w:rsid w:val="006346E2"/>
    <w:rsid w:val="00635B25"/>
    <w:rsid w:val="0063793E"/>
    <w:rsid w:val="00637F4E"/>
    <w:rsid w:val="00645209"/>
    <w:rsid w:val="00646124"/>
    <w:rsid w:val="00647C44"/>
    <w:rsid w:val="00651661"/>
    <w:rsid w:val="00651E0F"/>
    <w:rsid w:val="00651F67"/>
    <w:rsid w:val="00657066"/>
    <w:rsid w:val="0065783A"/>
    <w:rsid w:val="00657C8C"/>
    <w:rsid w:val="00657EAA"/>
    <w:rsid w:val="006618E7"/>
    <w:rsid w:val="00661D2F"/>
    <w:rsid w:val="00662741"/>
    <w:rsid w:val="00663AA8"/>
    <w:rsid w:val="006646DE"/>
    <w:rsid w:val="00664D83"/>
    <w:rsid w:val="00666162"/>
    <w:rsid w:val="0066650B"/>
    <w:rsid w:val="00667E82"/>
    <w:rsid w:val="00667F6C"/>
    <w:rsid w:val="006706EC"/>
    <w:rsid w:val="006708BF"/>
    <w:rsid w:val="00671C28"/>
    <w:rsid w:val="00675D9B"/>
    <w:rsid w:val="00680FF4"/>
    <w:rsid w:val="006847F1"/>
    <w:rsid w:val="00685C91"/>
    <w:rsid w:val="0068719D"/>
    <w:rsid w:val="006A0CE9"/>
    <w:rsid w:val="006A2BD1"/>
    <w:rsid w:val="006A45CC"/>
    <w:rsid w:val="006A5500"/>
    <w:rsid w:val="006A5F32"/>
    <w:rsid w:val="006A6FDC"/>
    <w:rsid w:val="006B0C3E"/>
    <w:rsid w:val="006B0E2D"/>
    <w:rsid w:val="006B109D"/>
    <w:rsid w:val="006B1279"/>
    <w:rsid w:val="006B1AEA"/>
    <w:rsid w:val="006B3AFC"/>
    <w:rsid w:val="006B3E5E"/>
    <w:rsid w:val="006C1DE6"/>
    <w:rsid w:val="006C210C"/>
    <w:rsid w:val="006C2929"/>
    <w:rsid w:val="006C41CB"/>
    <w:rsid w:val="006C6E08"/>
    <w:rsid w:val="006D07C8"/>
    <w:rsid w:val="006D36EF"/>
    <w:rsid w:val="006D54AF"/>
    <w:rsid w:val="006D55D3"/>
    <w:rsid w:val="006D58B4"/>
    <w:rsid w:val="006D632A"/>
    <w:rsid w:val="006D6AA3"/>
    <w:rsid w:val="006D7B8C"/>
    <w:rsid w:val="006E0771"/>
    <w:rsid w:val="006E1D51"/>
    <w:rsid w:val="006E42BB"/>
    <w:rsid w:val="006E49FD"/>
    <w:rsid w:val="006F137F"/>
    <w:rsid w:val="006F323D"/>
    <w:rsid w:val="006F5F06"/>
    <w:rsid w:val="006F62DF"/>
    <w:rsid w:val="006F6E19"/>
    <w:rsid w:val="006F7E63"/>
    <w:rsid w:val="00705D0E"/>
    <w:rsid w:val="00706880"/>
    <w:rsid w:val="00706B11"/>
    <w:rsid w:val="00707B12"/>
    <w:rsid w:val="0071176D"/>
    <w:rsid w:val="007128A1"/>
    <w:rsid w:val="007132EE"/>
    <w:rsid w:val="0072086B"/>
    <w:rsid w:val="00721AF1"/>
    <w:rsid w:val="0072225B"/>
    <w:rsid w:val="007236F0"/>
    <w:rsid w:val="007240E2"/>
    <w:rsid w:val="007248C3"/>
    <w:rsid w:val="00725AE5"/>
    <w:rsid w:val="00725BE4"/>
    <w:rsid w:val="0072641F"/>
    <w:rsid w:val="00726BCC"/>
    <w:rsid w:val="00731570"/>
    <w:rsid w:val="00736D00"/>
    <w:rsid w:val="00743380"/>
    <w:rsid w:val="00743C02"/>
    <w:rsid w:val="00744F61"/>
    <w:rsid w:val="00752B11"/>
    <w:rsid w:val="00754BC3"/>
    <w:rsid w:val="007555C8"/>
    <w:rsid w:val="007570CA"/>
    <w:rsid w:val="00761670"/>
    <w:rsid w:val="0077433A"/>
    <w:rsid w:val="00775362"/>
    <w:rsid w:val="0077759B"/>
    <w:rsid w:val="00782977"/>
    <w:rsid w:val="007832CA"/>
    <w:rsid w:val="00785B72"/>
    <w:rsid w:val="00787800"/>
    <w:rsid w:val="007878A0"/>
    <w:rsid w:val="007909E3"/>
    <w:rsid w:val="00794A3F"/>
    <w:rsid w:val="0079532B"/>
    <w:rsid w:val="00795AE8"/>
    <w:rsid w:val="00797994"/>
    <w:rsid w:val="007A1C2E"/>
    <w:rsid w:val="007A2AB4"/>
    <w:rsid w:val="007A322E"/>
    <w:rsid w:val="007A3A33"/>
    <w:rsid w:val="007A3CD7"/>
    <w:rsid w:val="007A5D83"/>
    <w:rsid w:val="007B04B1"/>
    <w:rsid w:val="007B1371"/>
    <w:rsid w:val="007B1783"/>
    <w:rsid w:val="007B2601"/>
    <w:rsid w:val="007C00B9"/>
    <w:rsid w:val="007C0AB3"/>
    <w:rsid w:val="007C0D85"/>
    <w:rsid w:val="007C0F44"/>
    <w:rsid w:val="007C0FB6"/>
    <w:rsid w:val="007C1257"/>
    <w:rsid w:val="007C4C80"/>
    <w:rsid w:val="007D1BA9"/>
    <w:rsid w:val="007D2E73"/>
    <w:rsid w:val="007D2F1B"/>
    <w:rsid w:val="007D3FF2"/>
    <w:rsid w:val="007D40A0"/>
    <w:rsid w:val="007D5150"/>
    <w:rsid w:val="007E4067"/>
    <w:rsid w:val="007E58A4"/>
    <w:rsid w:val="007E7B10"/>
    <w:rsid w:val="007F585E"/>
    <w:rsid w:val="007F5964"/>
    <w:rsid w:val="007F6A1C"/>
    <w:rsid w:val="007F7B1E"/>
    <w:rsid w:val="00801A82"/>
    <w:rsid w:val="008022F0"/>
    <w:rsid w:val="00805B48"/>
    <w:rsid w:val="00806888"/>
    <w:rsid w:val="00806C8A"/>
    <w:rsid w:val="00806D1A"/>
    <w:rsid w:val="0081081C"/>
    <w:rsid w:val="00810A11"/>
    <w:rsid w:val="00810CEA"/>
    <w:rsid w:val="00813D8A"/>
    <w:rsid w:val="008150F4"/>
    <w:rsid w:val="008162F1"/>
    <w:rsid w:val="00820C5E"/>
    <w:rsid w:val="008215CA"/>
    <w:rsid w:val="00821F0B"/>
    <w:rsid w:val="008228BB"/>
    <w:rsid w:val="008237F3"/>
    <w:rsid w:val="00824C0F"/>
    <w:rsid w:val="00826899"/>
    <w:rsid w:val="00831AA0"/>
    <w:rsid w:val="0083269C"/>
    <w:rsid w:val="00832F3D"/>
    <w:rsid w:val="00833F2F"/>
    <w:rsid w:val="0083544B"/>
    <w:rsid w:val="00836329"/>
    <w:rsid w:val="00837562"/>
    <w:rsid w:val="00837DF2"/>
    <w:rsid w:val="00845520"/>
    <w:rsid w:val="008515A9"/>
    <w:rsid w:val="00854909"/>
    <w:rsid w:val="00856989"/>
    <w:rsid w:val="0085775F"/>
    <w:rsid w:val="008578E7"/>
    <w:rsid w:val="00860D5D"/>
    <w:rsid w:val="008612B7"/>
    <w:rsid w:val="00863D38"/>
    <w:rsid w:val="00865E30"/>
    <w:rsid w:val="00870A67"/>
    <w:rsid w:val="00875BF5"/>
    <w:rsid w:val="00880D18"/>
    <w:rsid w:val="00881152"/>
    <w:rsid w:val="00882574"/>
    <w:rsid w:val="008830CD"/>
    <w:rsid w:val="00883209"/>
    <w:rsid w:val="00884011"/>
    <w:rsid w:val="0088542B"/>
    <w:rsid w:val="008870C6"/>
    <w:rsid w:val="008875DC"/>
    <w:rsid w:val="008902C9"/>
    <w:rsid w:val="00890CAB"/>
    <w:rsid w:val="00891AE6"/>
    <w:rsid w:val="0089248E"/>
    <w:rsid w:val="008925DB"/>
    <w:rsid w:val="00892D1A"/>
    <w:rsid w:val="00893082"/>
    <w:rsid w:val="00895FD2"/>
    <w:rsid w:val="008A2A75"/>
    <w:rsid w:val="008A2B84"/>
    <w:rsid w:val="008A4A14"/>
    <w:rsid w:val="008A7A21"/>
    <w:rsid w:val="008B09EC"/>
    <w:rsid w:val="008B1569"/>
    <w:rsid w:val="008B17C0"/>
    <w:rsid w:val="008B1E4B"/>
    <w:rsid w:val="008B2E04"/>
    <w:rsid w:val="008B3298"/>
    <w:rsid w:val="008B5B66"/>
    <w:rsid w:val="008B7723"/>
    <w:rsid w:val="008C4CD6"/>
    <w:rsid w:val="008D3074"/>
    <w:rsid w:val="008D4AE1"/>
    <w:rsid w:val="008D5B26"/>
    <w:rsid w:val="008D6AF0"/>
    <w:rsid w:val="008D72F1"/>
    <w:rsid w:val="008E08DA"/>
    <w:rsid w:val="008E2FF9"/>
    <w:rsid w:val="008E60F6"/>
    <w:rsid w:val="008E7FA1"/>
    <w:rsid w:val="008F0D8C"/>
    <w:rsid w:val="008F21CF"/>
    <w:rsid w:val="008F2AEE"/>
    <w:rsid w:val="00900750"/>
    <w:rsid w:val="009020DB"/>
    <w:rsid w:val="00903A0F"/>
    <w:rsid w:val="0090488E"/>
    <w:rsid w:val="00904B2D"/>
    <w:rsid w:val="00904D1A"/>
    <w:rsid w:val="00904FFC"/>
    <w:rsid w:val="0090662C"/>
    <w:rsid w:val="00911731"/>
    <w:rsid w:val="00911D78"/>
    <w:rsid w:val="00913C47"/>
    <w:rsid w:val="00914426"/>
    <w:rsid w:val="00914A5C"/>
    <w:rsid w:val="00914C63"/>
    <w:rsid w:val="00915F48"/>
    <w:rsid w:val="00916B21"/>
    <w:rsid w:val="00917765"/>
    <w:rsid w:val="00920B59"/>
    <w:rsid w:val="009211E4"/>
    <w:rsid w:val="00921513"/>
    <w:rsid w:val="009252ED"/>
    <w:rsid w:val="00926A2E"/>
    <w:rsid w:val="009312E9"/>
    <w:rsid w:val="0093450F"/>
    <w:rsid w:val="0093454F"/>
    <w:rsid w:val="009347BB"/>
    <w:rsid w:val="00934A17"/>
    <w:rsid w:val="0094055A"/>
    <w:rsid w:val="00941177"/>
    <w:rsid w:val="009411DB"/>
    <w:rsid w:val="0094533D"/>
    <w:rsid w:val="00946525"/>
    <w:rsid w:val="00946819"/>
    <w:rsid w:val="00950ED4"/>
    <w:rsid w:val="009546E4"/>
    <w:rsid w:val="00955ABA"/>
    <w:rsid w:val="009573AF"/>
    <w:rsid w:val="00962413"/>
    <w:rsid w:val="00962E22"/>
    <w:rsid w:val="00964A94"/>
    <w:rsid w:val="00966060"/>
    <w:rsid w:val="00972CF6"/>
    <w:rsid w:val="00973A6A"/>
    <w:rsid w:val="00976F0A"/>
    <w:rsid w:val="009800AB"/>
    <w:rsid w:val="0098150C"/>
    <w:rsid w:val="00981E83"/>
    <w:rsid w:val="00982B5F"/>
    <w:rsid w:val="00983917"/>
    <w:rsid w:val="00983AEB"/>
    <w:rsid w:val="0098494E"/>
    <w:rsid w:val="00985295"/>
    <w:rsid w:val="00986875"/>
    <w:rsid w:val="0098767C"/>
    <w:rsid w:val="00987694"/>
    <w:rsid w:val="0099137B"/>
    <w:rsid w:val="009913C8"/>
    <w:rsid w:val="0099206E"/>
    <w:rsid w:val="00995181"/>
    <w:rsid w:val="00995A62"/>
    <w:rsid w:val="00997972"/>
    <w:rsid w:val="009A4CEA"/>
    <w:rsid w:val="009A5684"/>
    <w:rsid w:val="009A5F74"/>
    <w:rsid w:val="009B0C3C"/>
    <w:rsid w:val="009B1150"/>
    <w:rsid w:val="009B416A"/>
    <w:rsid w:val="009B503B"/>
    <w:rsid w:val="009C1F84"/>
    <w:rsid w:val="009C4F07"/>
    <w:rsid w:val="009D0599"/>
    <w:rsid w:val="009D0653"/>
    <w:rsid w:val="009D1488"/>
    <w:rsid w:val="009D5A59"/>
    <w:rsid w:val="009D6D31"/>
    <w:rsid w:val="009E22B5"/>
    <w:rsid w:val="009E38E5"/>
    <w:rsid w:val="009E450D"/>
    <w:rsid w:val="009E5C50"/>
    <w:rsid w:val="009F0450"/>
    <w:rsid w:val="009F38FF"/>
    <w:rsid w:val="009F5F42"/>
    <w:rsid w:val="009F7536"/>
    <w:rsid w:val="00A009B7"/>
    <w:rsid w:val="00A03B29"/>
    <w:rsid w:val="00A03B88"/>
    <w:rsid w:val="00A047E6"/>
    <w:rsid w:val="00A05970"/>
    <w:rsid w:val="00A10C74"/>
    <w:rsid w:val="00A10E91"/>
    <w:rsid w:val="00A11671"/>
    <w:rsid w:val="00A12712"/>
    <w:rsid w:val="00A13317"/>
    <w:rsid w:val="00A13968"/>
    <w:rsid w:val="00A15BF9"/>
    <w:rsid w:val="00A16C45"/>
    <w:rsid w:val="00A20CB9"/>
    <w:rsid w:val="00A24007"/>
    <w:rsid w:val="00A265EF"/>
    <w:rsid w:val="00A300BB"/>
    <w:rsid w:val="00A331AE"/>
    <w:rsid w:val="00A33C3A"/>
    <w:rsid w:val="00A34203"/>
    <w:rsid w:val="00A35529"/>
    <w:rsid w:val="00A36A32"/>
    <w:rsid w:val="00A376A2"/>
    <w:rsid w:val="00A4352D"/>
    <w:rsid w:val="00A43E6F"/>
    <w:rsid w:val="00A446B1"/>
    <w:rsid w:val="00A47222"/>
    <w:rsid w:val="00A4738C"/>
    <w:rsid w:val="00A50A38"/>
    <w:rsid w:val="00A5258F"/>
    <w:rsid w:val="00A526C5"/>
    <w:rsid w:val="00A6159A"/>
    <w:rsid w:val="00A621C6"/>
    <w:rsid w:val="00A630B1"/>
    <w:rsid w:val="00A64CD6"/>
    <w:rsid w:val="00A651AD"/>
    <w:rsid w:val="00A71E70"/>
    <w:rsid w:val="00A802FB"/>
    <w:rsid w:val="00A81ECC"/>
    <w:rsid w:val="00A82251"/>
    <w:rsid w:val="00A8257E"/>
    <w:rsid w:val="00A8292D"/>
    <w:rsid w:val="00A86000"/>
    <w:rsid w:val="00A87A81"/>
    <w:rsid w:val="00A9274F"/>
    <w:rsid w:val="00A93827"/>
    <w:rsid w:val="00A93C9A"/>
    <w:rsid w:val="00A953EC"/>
    <w:rsid w:val="00A95A1B"/>
    <w:rsid w:val="00AA0E6F"/>
    <w:rsid w:val="00AA4E99"/>
    <w:rsid w:val="00AA5323"/>
    <w:rsid w:val="00AA6815"/>
    <w:rsid w:val="00AA68FD"/>
    <w:rsid w:val="00AB0508"/>
    <w:rsid w:val="00AB1142"/>
    <w:rsid w:val="00AB14E5"/>
    <w:rsid w:val="00AB5E38"/>
    <w:rsid w:val="00AB7B6C"/>
    <w:rsid w:val="00AC0B37"/>
    <w:rsid w:val="00AC28F0"/>
    <w:rsid w:val="00AC3D79"/>
    <w:rsid w:val="00AC4131"/>
    <w:rsid w:val="00AC4470"/>
    <w:rsid w:val="00AC747F"/>
    <w:rsid w:val="00AC7851"/>
    <w:rsid w:val="00AD0509"/>
    <w:rsid w:val="00AD2C4F"/>
    <w:rsid w:val="00AD311D"/>
    <w:rsid w:val="00AD40E9"/>
    <w:rsid w:val="00AD44D9"/>
    <w:rsid w:val="00AD6027"/>
    <w:rsid w:val="00AE0030"/>
    <w:rsid w:val="00AE08A5"/>
    <w:rsid w:val="00AE0BB4"/>
    <w:rsid w:val="00AE1696"/>
    <w:rsid w:val="00AE3D90"/>
    <w:rsid w:val="00AE4216"/>
    <w:rsid w:val="00AE5BEC"/>
    <w:rsid w:val="00AE6C29"/>
    <w:rsid w:val="00AF1E0D"/>
    <w:rsid w:val="00AF2486"/>
    <w:rsid w:val="00AF2831"/>
    <w:rsid w:val="00AF2D17"/>
    <w:rsid w:val="00AF3358"/>
    <w:rsid w:val="00AF395E"/>
    <w:rsid w:val="00AF65D9"/>
    <w:rsid w:val="00B02530"/>
    <w:rsid w:val="00B059B8"/>
    <w:rsid w:val="00B07261"/>
    <w:rsid w:val="00B1105B"/>
    <w:rsid w:val="00B11690"/>
    <w:rsid w:val="00B11AF8"/>
    <w:rsid w:val="00B12A71"/>
    <w:rsid w:val="00B134AF"/>
    <w:rsid w:val="00B13E52"/>
    <w:rsid w:val="00B15D8E"/>
    <w:rsid w:val="00B20074"/>
    <w:rsid w:val="00B23263"/>
    <w:rsid w:val="00B2367C"/>
    <w:rsid w:val="00B249C6"/>
    <w:rsid w:val="00B278CD"/>
    <w:rsid w:val="00B310CA"/>
    <w:rsid w:val="00B35859"/>
    <w:rsid w:val="00B35CC3"/>
    <w:rsid w:val="00B36CFB"/>
    <w:rsid w:val="00B3715E"/>
    <w:rsid w:val="00B41818"/>
    <w:rsid w:val="00B42CB7"/>
    <w:rsid w:val="00B45465"/>
    <w:rsid w:val="00B51ED7"/>
    <w:rsid w:val="00B52B1C"/>
    <w:rsid w:val="00B54088"/>
    <w:rsid w:val="00B543E2"/>
    <w:rsid w:val="00B60B64"/>
    <w:rsid w:val="00B66ADC"/>
    <w:rsid w:val="00B67F4A"/>
    <w:rsid w:val="00B70815"/>
    <w:rsid w:val="00B70A6D"/>
    <w:rsid w:val="00B7213D"/>
    <w:rsid w:val="00B72A0F"/>
    <w:rsid w:val="00B733BB"/>
    <w:rsid w:val="00B76FAA"/>
    <w:rsid w:val="00B77CDD"/>
    <w:rsid w:val="00B80B2E"/>
    <w:rsid w:val="00B81E08"/>
    <w:rsid w:val="00B8470A"/>
    <w:rsid w:val="00B90405"/>
    <w:rsid w:val="00B92CB3"/>
    <w:rsid w:val="00B939B4"/>
    <w:rsid w:val="00B95AF4"/>
    <w:rsid w:val="00B95CA6"/>
    <w:rsid w:val="00B9646E"/>
    <w:rsid w:val="00B96F36"/>
    <w:rsid w:val="00BA0B0A"/>
    <w:rsid w:val="00BA3918"/>
    <w:rsid w:val="00BA4893"/>
    <w:rsid w:val="00BA5C86"/>
    <w:rsid w:val="00BA73D9"/>
    <w:rsid w:val="00BB2A20"/>
    <w:rsid w:val="00BB3E49"/>
    <w:rsid w:val="00BB411E"/>
    <w:rsid w:val="00BB432E"/>
    <w:rsid w:val="00BB453C"/>
    <w:rsid w:val="00BB6756"/>
    <w:rsid w:val="00BC1DFB"/>
    <w:rsid w:val="00BC6C14"/>
    <w:rsid w:val="00BD05A8"/>
    <w:rsid w:val="00BD0D53"/>
    <w:rsid w:val="00BD186F"/>
    <w:rsid w:val="00BD6624"/>
    <w:rsid w:val="00BE036E"/>
    <w:rsid w:val="00BE621E"/>
    <w:rsid w:val="00BE7818"/>
    <w:rsid w:val="00BF09EA"/>
    <w:rsid w:val="00BF1B44"/>
    <w:rsid w:val="00BF1F7A"/>
    <w:rsid w:val="00BF300B"/>
    <w:rsid w:val="00BF32A5"/>
    <w:rsid w:val="00BF3F36"/>
    <w:rsid w:val="00BF4835"/>
    <w:rsid w:val="00BF4C8A"/>
    <w:rsid w:val="00BF69FF"/>
    <w:rsid w:val="00C0209B"/>
    <w:rsid w:val="00C03AC7"/>
    <w:rsid w:val="00C040AA"/>
    <w:rsid w:val="00C05304"/>
    <w:rsid w:val="00C074F9"/>
    <w:rsid w:val="00C15F93"/>
    <w:rsid w:val="00C20912"/>
    <w:rsid w:val="00C250C1"/>
    <w:rsid w:val="00C258F5"/>
    <w:rsid w:val="00C2616C"/>
    <w:rsid w:val="00C2759E"/>
    <w:rsid w:val="00C27E69"/>
    <w:rsid w:val="00C31131"/>
    <w:rsid w:val="00C32529"/>
    <w:rsid w:val="00C33873"/>
    <w:rsid w:val="00C35163"/>
    <w:rsid w:val="00C35B65"/>
    <w:rsid w:val="00C37CF9"/>
    <w:rsid w:val="00C43E41"/>
    <w:rsid w:val="00C45F3B"/>
    <w:rsid w:val="00C51927"/>
    <w:rsid w:val="00C54A1E"/>
    <w:rsid w:val="00C55330"/>
    <w:rsid w:val="00C56852"/>
    <w:rsid w:val="00C57758"/>
    <w:rsid w:val="00C60B60"/>
    <w:rsid w:val="00C62060"/>
    <w:rsid w:val="00C625D4"/>
    <w:rsid w:val="00C66061"/>
    <w:rsid w:val="00C67A01"/>
    <w:rsid w:val="00C70FD6"/>
    <w:rsid w:val="00C71F7C"/>
    <w:rsid w:val="00C73B28"/>
    <w:rsid w:val="00C77FA9"/>
    <w:rsid w:val="00C81444"/>
    <w:rsid w:val="00C82382"/>
    <w:rsid w:val="00C82673"/>
    <w:rsid w:val="00C82886"/>
    <w:rsid w:val="00C84000"/>
    <w:rsid w:val="00C90F1D"/>
    <w:rsid w:val="00C92A89"/>
    <w:rsid w:val="00C92C5D"/>
    <w:rsid w:val="00C939EF"/>
    <w:rsid w:val="00C9495F"/>
    <w:rsid w:val="00C94D38"/>
    <w:rsid w:val="00C951BA"/>
    <w:rsid w:val="00C959C2"/>
    <w:rsid w:val="00C95EF5"/>
    <w:rsid w:val="00C96895"/>
    <w:rsid w:val="00C96DF0"/>
    <w:rsid w:val="00C9763B"/>
    <w:rsid w:val="00CA1321"/>
    <w:rsid w:val="00CA37DA"/>
    <w:rsid w:val="00CB12D3"/>
    <w:rsid w:val="00CB3E49"/>
    <w:rsid w:val="00CB552A"/>
    <w:rsid w:val="00CB5E61"/>
    <w:rsid w:val="00CC0A1F"/>
    <w:rsid w:val="00CC0C80"/>
    <w:rsid w:val="00CC1E16"/>
    <w:rsid w:val="00CC2975"/>
    <w:rsid w:val="00CC68BB"/>
    <w:rsid w:val="00CD091C"/>
    <w:rsid w:val="00CD3BB2"/>
    <w:rsid w:val="00CD5641"/>
    <w:rsid w:val="00CD674E"/>
    <w:rsid w:val="00CE0707"/>
    <w:rsid w:val="00CE0C89"/>
    <w:rsid w:val="00CE228D"/>
    <w:rsid w:val="00CE25CE"/>
    <w:rsid w:val="00CE51B6"/>
    <w:rsid w:val="00CE590D"/>
    <w:rsid w:val="00CF1F7C"/>
    <w:rsid w:val="00CF21FF"/>
    <w:rsid w:val="00CF42D1"/>
    <w:rsid w:val="00CF6475"/>
    <w:rsid w:val="00D00C0B"/>
    <w:rsid w:val="00D04761"/>
    <w:rsid w:val="00D07BDF"/>
    <w:rsid w:val="00D109C8"/>
    <w:rsid w:val="00D11284"/>
    <w:rsid w:val="00D1209F"/>
    <w:rsid w:val="00D12A15"/>
    <w:rsid w:val="00D13928"/>
    <w:rsid w:val="00D13D7B"/>
    <w:rsid w:val="00D16CB4"/>
    <w:rsid w:val="00D21481"/>
    <w:rsid w:val="00D2149F"/>
    <w:rsid w:val="00D24C5C"/>
    <w:rsid w:val="00D25E88"/>
    <w:rsid w:val="00D26DBB"/>
    <w:rsid w:val="00D301F5"/>
    <w:rsid w:val="00D3271D"/>
    <w:rsid w:val="00D3451C"/>
    <w:rsid w:val="00D34745"/>
    <w:rsid w:val="00D35694"/>
    <w:rsid w:val="00D40CDC"/>
    <w:rsid w:val="00D429F3"/>
    <w:rsid w:val="00D455DF"/>
    <w:rsid w:val="00D46909"/>
    <w:rsid w:val="00D47B83"/>
    <w:rsid w:val="00D47BBA"/>
    <w:rsid w:val="00D5027F"/>
    <w:rsid w:val="00D52B67"/>
    <w:rsid w:val="00D531CB"/>
    <w:rsid w:val="00D54943"/>
    <w:rsid w:val="00D56A52"/>
    <w:rsid w:val="00D60BBA"/>
    <w:rsid w:val="00D62FB4"/>
    <w:rsid w:val="00D6338D"/>
    <w:rsid w:val="00D65269"/>
    <w:rsid w:val="00D67353"/>
    <w:rsid w:val="00D673DB"/>
    <w:rsid w:val="00D703AF"/>
    <w:rsid w:val="00D70BDB"/>
    <w:rsid w:val="00D71203"/>
    <w:rsid w:val="00D71FDB"/>
    <w:rsid w:val="00D71FDE"/>
    <w:rsid w:val="00D72875"/>
    <w:rsid w:val="00D75244"/>
    <w:rsid w:val="00D75751"/>
    <w:rsid w:val="00D816DB"/>
    <w:rsid w:val="00D87356"/>
    <w:rsid w:val="00D87552"/>
    <w:rsid w:val="00D91A32"/>
    <w:rsid w:val="00D92EB1"/>
    <w:rsid w:val="00D92FC6"/>
    <w:rsid w:val="00D9666B"/>
    <w:rsid w:val="00DA29BF"/>
    <w:rsid w:val="00DA3B1C"/>
    <w:rsid w:val="00DA51A7"/>
    <w:rsid w:val="00DA549E"/>
    <w:rsid w:val="00DA5F3B"/>
    <w:rsid w:val="00DB0AC6"/>
    <w:rsid w:val="00DB4DB9"/>
    <w:rsid w:val="00DC0FE8"/>
    <w:rsid w:val="00DC38A8"/>
    <w:rsid w:val="00DC467A"/>
    <w:rsid w:val="00DC4D7C"/>
    <w:rsid w:val="00DC52AA"/>
    <w:rsid w:val="00DC52DA"/>
    <w:rsid w:val="00DC7032"/>
    <w:rsid w:val="00DD014C"/>
    <w:rsid w:val="00DD4A2D"/>
    <w:rsid w:val="00DD50A3"/>
    <w:rsid w:val="00DD6F76"/>
    <w:rsid w:val="00DE0F49"/>
    <w:rsid w:val="00DE4D36"/>
    <w:rsid w:val="00DE6B4B"/>
    <w:rsid w:val="00DE7DCE"/>
    <w:rsid w:val="00DF2859"/>
    <w:rsid w:val="00DF5FC5"/>
    <w:rsid w:val="00DF60D7"/>
    <w:rsid w:val="00DF7966"/>
    <w:rsid w:val="00E02DCA"/>
    <w:rsid w:val="00E03B6F"/>
    <w:rsid w:val="00E1152D"/>
    <w:rsid w:val="00E12197"/>
    <w:rsid w:val="00E1262F"/>
    <w:rsid w:val="00E15D42"/>
    <w:rsid w:val="00E174F3"/>
    <w:rsid w:val="00E203BC"/>
    <w:rsid w:val="00E20DA0"/>
    <w:rsid w:val="00E25879"/>
    <w:rsid w:val="00E26A86"/>
    <w:rsid w:val="00E26B02"/>
    <w:rsid w:val="00E32582"/>
    <w:rsid w:val="00E34130"/>
    <w:rsid w:val="00E34B36"/>
    <w:rsid w:val="00E41928"/>
    <w:rsid w:val="00E41E4F"/>
    <w:rsid w:val="00E444AB"/>
    <w:rsid w:val="00E47C59"/>
    <w:rsid w:val="00E50CC2"/>
    <w:rsid w:val="00E517AC"/>
    <w:rsid w:val="00E51E87"/>
    <w:rsid w:val="00E52817"/>
    <w:rsid w:val="00E52CAA"/>
    <w:rsid w:val="00E541DB"/>
    <w:rsid w:val="00E54777"/>
    <w:rsid w:val="00E6096C"/>
    <w:rsid w:val="00E61132"/>
    <w:rsid w:val="00E61442"/>
    <w:rsid w:val="00E61FC1"/>
    <w:rsid w:val="00E63919"/>
    <w:rsid w:val="00E64869"/>
    <w:rsid w:val="00E64954"/>
    <w:rsid w:val="00E6520C"/>
    <w:rsid w:val="00E66BC3"/>
    <w:rsid w:val="00E7046E"/>
    <w:rsid w:val="00E763DB"/>
    <w:rsid w:val="00E803D5"/>
    <w:rsid w:val="00E806DA"/>
    <w:rsid w:val="00E839B7"/>
    <w:rsid w:val="00E83ADE"/>
    <w:rsid w:val="00E9197C"/>
    <w:rsid w:val="00E9425A"/>
    <w:rsid w:val="00E944AE"/>
    <w:rsid w:val="00E95F9D"/>
    <w:rsid w:val="00E97A59"/>
    <w:rsid w:val="00EA105F"/>
    <w:rsid w:val="00EA1372"/>
    <w:rsid w:val="00EA2F4C"/>
    <w:rsid w:val="00EA33DB"/>
    <w:rsid w:val="00EA50D1"/>
    <w:rsid w:val="00EA5C6A"/>
    <w:rsid w:val="00EA6AC7"/>
    <w:rsid w:val="00EB013C"/>
    <w:rsid w:val="00EB027A"/>
    <w:rsid w:val="00EB058E"/>
    <w:rsid w:val="00EB1643"/>
    <w:rsid w:val="00EB2A41"/>
    <w:rsid w:val="00EB46A7"/>
    <w:rsid w:val="00EB4DA3"/>
    <w:rsid w:val="00EB4ED1"/>
    <w:rsid w:val="00EB546F"/>
    <w:rsid w:val="00EB6DE8"/>
    <w:rsid w:val="00EC20CD"/>
    <w:rsid w:val="00EC4B5B"/>
    <w:rsid w:val="00EC7C71"/>
    <w:rsid w:val="00ED0AD5"/>
    <w:rsid w:val="00ED1271"/>
    <w:rsid w:val="00ED2787"/>
    <w:rsid w:val="00ED56FD"/>
    <w:rsid w:val="00ED7CB3"/>
    <w:rsid w:val="00EE1A7B"/>
    <w:rsid w:val="00EE5134"/>
    <w:rsid w:val="00EE58E5"/>
    <w:rsid w:val="00EE5909"/>
    <w:rsid w:val="00EF08BE"/>
    <w:rsid w:val="00EF1AF0"/>
    <w:rsid w:val="00EF34CF"/>
    <w:rsid w:val="00EF78D5"/>
    <w:rsid w:val="00EF7D55"/>
    <w:rsid w:val="00F02350"/>
    <w:rsid w:val="00F023EE"/>
    <w:rsid w:val="00F0319F"/>
    <w:rsid w:val="00F0382D"/>
    <w:rsid w:val="00F05602"/>
    <w:rsid w:val="00F0597A"/>
    <w:rsid w:val="00F05EB3"/>
    <w:rsid w:val="00F06679"/>
    <w:rsid w:val="00F06AAC"/>
    <w:rsid w:val="00F079CC"/>
    <w:rsid w:val="00F177C5"/>
    <w:rsid w:val="00F20ACE"/>
    <w:rsid w:val="00F21753"/>
    <w:rsid w:val="00F23A95"/>
    <w:rsid w:val="00F24743"/>
    <w:rsid w:val="00F25C86"/>
    <w:rsid w:val="00F2700A"/>
    <w:rsid w:val="00F36C6B"/>
    <w:rsid w:val="00F408EA"/>
    <w:rsid w:val="00F44013"/>
    <w:rsid w:val="00F440F0"/>
    <w:rsid w:val="00F45C26"/>
    <w:rsid w:val="00F51F0C"/>
    <w:rsid w:val="00F53343"/>
    <w:rsid w:val="00F53889"/>
    <w:rsid w:val="00F56B5A"/>
    <w:rsid w:val="00F57A04"/>
    <w:rsid w:val="00F62175"/>
    <w:rsid w:val="00F63287"/>
    <w:rsid w:val="00F65B18"/>
    <w:rsid w:val="00F666FC"/>
    <w:rsid w:val="00F715E8"/>
    <w:rsid w:val="00F71E80"/>
    <w:rsid w:val="00F725E0"/>
    <w:rsid w:val="00F72D18"/>
    <w:rsid w:val="00F73D3C"/>
    <w:rsid w:val="00F8390D"/>
    <w:rsid w:val="00F83EAD"/>
    <w:rsid w:val="00F8501F"/>
    <w:rsid w:val="00F91A01"/>
    <w:rsid w:val="00F93043"/>
    <w:rsid w:val="00F937F9"/>
    <w:rsid w:val="00F9530B"/>
    <w:rsid w:val="00F953C0"/>
    <w:rsid w:val="00F95AA7"/>
    <w:rsid w:val="00F975A3"/>
    <w:rsid w:val="00FA3471"/>
    <w:rsid w:val="00FA40AE"/>
    <w:rsid w:val="00FB090B"/>
    <w:rsid w:val="00FB2303"/>
    <w:rsid w:val="00FB369A"/>
    <w:rsid w:val="00FB4273"/>
    <w:rsid w:val="00FB4DBB"/>
    <w:rsid w:val="00FB5130"/>
    <w:rsid w:val="00FB54C8"/>
    <w:rsid w:val="00FB7254"/>
    <w:rsid w:val="00FC2E08"/>
    <w:rsid w:val="00FC36F1"/>
    <w:rsid w:val="00FC7A12"/>
    <w:rsid w:val="00FD00D5"/>
    <w:rsid w:val="00FD0199"/>
    <w:rsid w:val="00FD42A7"/>
    <w:rsid w:val="00FE08F7"/>
    <w:rsid w:val="00FE1E01"/>
    <w:rsid w:val="00FE26D5"/>
    <w:rsid w:val="00FE3CF0"/>
    <w:rsid w:val="00FE64A1"/>
    <w:rsid w:val="00FE6770"/>
    <w:rsid w:val="00FE6AC4"/>
    <w:rsid w:val="00FF027C"/>
    <w:rsid w:val="00FF02F2"/>
    <w:rsid w:val="00FF0B27"/>
    <w:rsid w:val="00FF0DD5"/>
    <w:rsid w:val="00FF1C02"/>
    <w:rsid w:val="00FF2380"/>
    <w:rsid w:val="00FF23E9"/>
    <w:rsid w:val="00FF5B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4B3B"/>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434B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34B3B"/>
    <w:pPr>
      <w:pBdr>
        <w:top w:val="none" w:sz="0" w:space="0" w:color="auto"/>
      </w:pBdr>
      <w:spacing w:before="180"/>
      <w:outlineLvl w:val="1"/>
    </w:pPr>
    <w:rPr>
      <w:sz w:val="32"/>
    </w:rPr>
  </w:style>
  <w:style w:type="paragraph" w:styleId="Heading3">
    <w:name w:val="heading 3"/>
    <w:basedOn w:val="Heading2"/>
    <w:next w:val="Normal"/>
    <w:qFormat/>
    <w:rsid w:val="00434B3B"/>
    <w:pPr>
      <w:spacing w:before="120"/>
      <w:outlineLvl w:val="2"/>
    </w:pPr>
    <w:rPr>
      <w:sz w:val="28"/>
    </w:rPr>
  </w:style>
  <w:style w:type="paragraph" w:styleId="Heading4">
    <w:name w:val="heading 4"/>
    <w:basedOn w:val="Heading3"/>
    <w:next w:val="Normal"/>
    <w:link w:val="Heading4Char"/>
    <w:qFormat/>
    <w:rsid w:val="00434B3B"/>
    <w:pPr>
      <w:ind w:left="1418" w:hanging="1418"/>
      <w:outlineLvl w:val="3"/>
    </w:pPr>
    <w:rPr>
      <w:sz w:val="24"/>
    </w:rPr>
  </w:style>
  <w:style w:type="paragraph" w:styleId="Heading5">
    <w:name w:val="heading 5"/>
    <w:basedOn w:val="Heading4"/>
    <w:next w:val="Normal"/>
    <w:qFormat/>
    <w:rsid w:val="00434B3B"/>
    <w:pPr>
      <w:ind w:left="1701" w:hanging="1701"/>
      <w:outlineLvl w:val="4"/>
    </w:pPr>
    <w:rPr>
      <w:sz w:val="22"/>
    </w:rPr>
  </w:style>
  <w:style w:type="paragraph" w:styleId="Heading6">
    <w:name w:val="heading 6"/>
    <w:basedOn w:val="H6"/>
    <w:next w:val="Normal"/>
    <w:qFormat/>
    <w:rsid w:val="00434B3B"/>
    <w:pPr>
      <w:outlineLvl w:val="5"/>
    </w:pPr>
  </w:style>
  <w:style w:type="paragraph" w:styleId="Heading7">
    <w:name w:val="heading 7"/>
    <w:basedOn w:val="H6"/>
    <w:next w:val="Normal"/>
    <w:link w:val="Heading7Char"/>
    <w:qFormat/>
    <w:rsid w:val="00434B3B"/>
    <w:pPr>
      <w:outlineLvl w:val="6"/>
    </w:pPr>
  </w:style>
  <w:style w:type="paragraph" w:styleId="Heading8">
    <w:name w:val="heading 8"/>
    <w:basedOn w:val="Heading1"/>
    <w:next w:val="Normal"/>
    <w:link w:val="Heading8Char"/>
    <w:qFormat/>
    <w:rsid w:val="00434B3B"/>
    <w:pPr>
      <w:ind w:left="0" w:firstLine="0"/>
      <w:outlineLvl w:val="7"/>
    </w:pPr>
  </w:style>
  <w:style w:type="paragraph" w:styleId="Heading9">
    <w:name w:val="heading 9"/>
    <w:basedOn w:val="Heading8"/>
    <w:next w:val="Normal"/>
    <w:link w:val="Heading9Char"/>
    <w:qFormat/>
    <w:rsid w:val="00434B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semiHidden/>
    <w:rsid w:val="00434B3B"/>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434B3B"/>
    <w:pPr>
      <w:jc w:val="center"/>
    </w:pPr>
    <w:rPr>
      <w:i/>
    </w:rPr>
  </w:style>
  <w:style w:type="paragraph" w:styleId="CommentText">
    <w:name w:val="annotation text"/>
    <w:basedOn w:val="Normal"/>
    <w:semiHidden/>
    <w:rsid w:val="003D5E1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3D5E11"/>
  </w:style>
  <w:style w:type="paragraph" w:customStyle="1" w:styleId="B1">
    <w:name w:val="B1"/>
    <w:basedOn w:val="List"/>
    <w:rsid w:val="00434B3B"/>
  </w:style>
  <w:style w:type="paragraph" w:customStyle="1" w:styleId="00BodyText">
    <w:name w:val="00 BodyText"/>
    <w:basedOn w:val="Normal"/>
    <w:rsid w:val="003D5E11"/>
    <w:pPr>
      <w:spacing w:after="220"/>
    </w:pPr>
    <w:rPr>
      <w:rFonts w:ascii="Arial" w:hAnsi="Arial"/>
      <w:sz w:val="22"/>
      <w:lang w:val="en-US" w:eastAsia="en-US"/>
    </w:rPr>
  </w:style>
  <w:style w:type="paragraph" w:customStyle="1" w:styleId="a">
    <w:name w:val="??"/>
    <w:rsid w:val="003D5E11"/>
    <w:pPr>
      <w:widowControl w:val="0"/>
    </w:pPr>
    <w:rPr>
      <w:lang w:eastAsia="en-US"/>
    </w:rPr>
  </w:style>
  <w:style w:type="paragraph" w:customStyle="1" w:styleId="2">
    <w:name w:val="??? 2"/>
    <w:basedOn w:val="a"/>
    <w:next w:val="a"/>
    <w:rsid w:val="003D5E11"/>
    <w:pPr>
      <w:keepNext/>
    </w:pPr>
    <w:rPr>
      <w:rFonts w:ascii="Arial" w:hAnsi="Arial"/>
      <w:b/>
      <w:sz w:val="24"/>
    </w:rPr>
  </w:style>
  <w:style w:type="character" w:customStyle="1" w:styleId="apple-style-span">
    <w:name w:val="apple-style-span"/>
    <w:basedOn w:val="DefaultParagraphFont"/>
    <w:rsid w:val="007A3A33"/>
  </w:style>
  <w:style w:type="paragraph" w:styleId="Quote">
    <w:name w:val="Quote"/>
    <w:basedOn w:val="Normal"/>
    <w:next w:val="Normal"/>
    <w:link w:val="QuoteChar"/>
    <w:uiPriority w:val="29"/>
    <w:qFormat/>
    <w:rsid w:val="00132957"/>
    <w:rPr>
      <w:i/>
      <w:iCs/>
      <w:color w:val="000000"/>
      <w:lang w:eastAsia="en-US"/>
    </w:rPr>
  </w:style>
  <w:style w:type="character" w:customStyle="1" w:styleId="QuoteChar">
    <w:name w:val="Quote Char"/>
    <w:link w:val="Quote"/>
    <w:uiPriority w:val="29"/>
    <w:rsid w:val="00132957"/>
    <w:rPr>
      <w:i/>
      <w:iCs/>
      <w:color w:val="000000"/>
      <w:lang w:val="en-GB" w:eastAsia="en-US"/>
    </w:rPr>
  </w:style>
  <w:style w:type="character" w:styleId="CommentReference">
    <w:name w:val="annotation reference"/>
    <w:semiHidden/>
    <w:rsid w:val="00631EB7"/>
    <w:rPr>
      <w:sz w:val="18"/>
      <w:szCs w:val="18"/>
    </w:rPr>
  </w:style>
  <w:style w:type="paragraph" w:styleId="CommentSubject">
    <w:name w:val="annotation subject"/>
    <w:basedOn w:val="CommentText"/>
    <w:next w:val="CommentText"/>
    <w:semiHidden/>
    <w:rsid w:val="00631EB7"/>
    <w:pPr>
      <w:tabs>
        <w:tab w:val="clear" w:pos="1418"/>
        <w:tab w:val="clear" w:pos="4678"/>
        <w:tab w:val="clear" w:pos="5954"/>
        <w:tab w:val="clear" w:pos="7088"/>
      </w:tabs>
      <w:spacing w:after="0"/>
      <w:jc w:val="left"/>
    </w:pPr>
    <w:rPr>
      <w:rFonts w:ascii="Times New Roman" w:hAnsi="Times New Roman"/>
      <w:b/>
      <w:bCs/>
    </w:rPr>
  </w:style>
  <w:style w:type="paragraph" w:styleId="BalloonText">
    <w:name w:val="Balloon Text"/>
    <w:basedOn w:val="Normal"/>
    <w:semiHidden/>
    <w:rsid w:val="00631EB7"/>
    <w:rPr>
      <w:rFonts w:ascii="Arial" w:eastAsia="MS Gothic" w:hAnsi="Arial"/>
      <w:sz w:val="18"/>
      <w:szCs w:val="18"/>
    </w:rPr>
  </w:style>
  <w:style w:type="character" w:customStyle="1" w:styleId="Heading4Char">
    <w:name w:val="Heading 4 Char"/>
    <w:link w:val="Heading4"/>
    <w:rsid w:val="00434B3B"/>
    <w:rPr>
      <w:rFonts w:ascii="Arial" w:hAnsi="Arial"/>
      <w:sz w:val="24"/>
      <w:lang w:val="en-GB"/>
    </w:rPr>
  </w:style>
  <w:style w:type="character" w:customStyle="1" w:styleId="Heading7Char">
    <w:name w:val="Heading 7 Char"/>
    <w:link w:val="Heading7"/>
    <w:rsid w:val="00434B3B"/>
    <w:rPr>
      <w:rFonts w:ascii="Arial" w:hAnsi="Arial"/>
      <w:lang w:val="en-GB"/>
    </w:rPr>
  </w:style>
  <w:style w:type="character" w:customStyle="1" w:styleId="Heading8Char">
    <w:name w:val="Heading 8 Char"/>
    <w:link w:val="Heading8"/>
    <w:rsid w:val="00434B3B"/>
    <w:rPr>
      <w:rFonts w:ascii="Arial" w:hAnsi="Arial"/>
      <w:sz w:val="36"/>
      <w:lang w:val="en-GB"/>
    </w:rPr>
  </w:style>
  <w:style w:type="character" w:customStyle="1" w:styleId="Heading9Char">
    <w:name w:val="Heading 9 Char"/>
    <w:link w:val="Heading9"/>
    <w:rsid w:val="00434B3B"/>
    <w:rPr>
      <w:rFonts w:ascii="Arial" w:hAnsi="Arial"/>
      <w:sz w:val="36"/>
      <w:lang w:val="en-GB"/>
    </w:rPr>
  </w:style>
  <w:style w:type="paragraph" w:styleId="TOC8">
    <w:name w:val="toc 8"/>
    <w:basedOn w:val="TOC1"/>
    <w:semiHidden/>
    <w:rsid w:val="00434B3B"/>
    <w:pPr>
      <w:spacing w:before="180"/>
      <w:ind w:left="2693" w:hanging="2693"/>
    </w:pPr>
    <w:rPr>
      <w:b/>
    </w:rPr>
  </w:style>
  <w:style w:type="paragraph" w:styleId="TOC1">
    <w:name w:val="toc 1"/>
    <w:semiHidden/>
    <w:rsid w:val="00434B3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434B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434B3B"/>
    <w:pPr>
      <w:ind w:left="1701" w:hanging="1701"/>
    </w:pPr>
  </w:style>
  <w:style w:type="paragraph" w:styleId="TOC4">
    <w:name w:val="toc 4"/>
    <w:basedOn w:val="TOC3"/>
    <w:semiHidden/>
    <w:rsid w:val="00434B3B"/>
    <w:pPr>
      <w:ind w:left="1418" w:hanging="1418"/>
    </w:pPr>
  </w:style>
  <w:style w:type="paragraph" w:styleId="TOC3">
    <w:name w:val="toc 3"/>
    <w:basedOn w:val="TOC2"/>
    <w:semiHidden/>
    <w:rsid w:val="00434B3B"/>
    <w:pPr>
      <w:ind w:left="1134" w:hanging="1134"/>
    </w:pPr>
  </w:style>
  <w:style w:type="paragraph" w:styleId="TOC2">
    <w:name w:val="toc 2"/>
    <w:basedOn w:val="TOC1"/>
    <w:semiHidden/>
    <w:rsid w:val="00434B3B"/>
    <w:pPr>
      <w:keepNext w:val="0"/>
      <w:spacing w:before="0"/>
      <w:ind w:left="851" w:hanging="851"/>
    </w:pPr>
    <w:rPr>
      <w:sz w:val="20"/>
    </w:rPr>
  </w:style>
  <w:style w:type="paragraph" w:styleId="Index2">
    <w:name w:val="index 2"/>
    <w:basedOn w:val="Index1"/>
    <w:semiHidden/>
    <w:rsid w:val="00434B3B"/>
    <w:pPr>
      <w:ind w:left="284"/>
    </w:pPr>
  </w:style>
  <w:style w:type="paragraph" w:styleId="Index1">
    <w:name w:val="index 1"/>
    <w:basedOn w:val="Normal"/>
    <w:semiHidden/>
    <w:rsid w:val="00434B3B"/>
    <w:pPr>
      <w:keepLines/>
      <w:spacing w:after="0"/>
    </w:pPr>
  </w:style>
  <w:style w:type="paragraph" w:customStyle="1" w:styleId="ZH">
    <w:name w:val="ZH"/>
    <w:rsid w:val="00434B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434B3B"/>
    <w:pPr>
      <w:outlineLvl w:val="9"/>
    </w:pPr>
  </w:style>
  <w:style w:type="paragraph" w:styleId="ListNumber2">
    <w:name w:val="List Number 2"/>
    <w:basedOn w:val="ListNumber"/>
    <w:semiHidden/>
    <w:rsid w:val="00434B3B"/>
    <w:pPr>
      <w:ind w:left="851"/>
    </w:pPr>
  </w:style>
  <w:style w:type="character" w:styleId="FootnoteReference">
    <w:name w:val="footnote reference"/>
    <w:semiHidden/>
    <w:rsid w:val="00434B3B"/>
    <w:rPr>
      <w:b/>
      <w:position w:val="6"/>
      <w:sz w:val="16"/>
    </w:rPr>
  </w:style>
  <w:style w:type="paragraph" w:styleId="FootnoteText">
    <w:name w:val="footnote text"/>
    <w:basedOn w:val="Normal"/>
    <w:link w:val="FootnoteTextChar"/>
    <w:semiHidden/>
    <w:rsid w:val="00434B3B"/>
    <w:pPr>
      <w:keepLines/>
      <w:spacing w:after="0"/>
      <w:ind w:left="454" w:hanging="454"/>
    </w:pPr>
    <w:rPr>
      <w:sz w:val="16"/>
    </w:rPr>
  </w:style>
  <w:style w:type="character" w:customStyle="1" w:styleId="FootnoteTextChar">
    <w:name w:val="Footnote Text Char"/>
    <w:link w:val="FootnoteText"/>
    <w:semiHidden/>
    <w:rsid w:val="00434B3B"/>
    <w:rPr>
      <w:sz w:val="16"/>
      <w:lang w:val="en-GB"/>
    </w:rPr>
  </w:style>
  <w:style w:type="paragraph" w:customStyle="1" w:styleId="TAH">
    <w:name w:val="TAH"/>
    <w:basedOn w:val="TAC"/>
    <w:link w:val="TAHCar"/>
    <w:rsid w:val="00434B3B"/>
    <w:rPr>
      <w:b/>
    </w:rPr>
  </w:style>
  <w:style w:type="paragraph" w:customStyle="1" w:styleId="TAC">
    <w:name w:val="TAC"/>
    <w:basedOn w:val="TAL"/>
    <w:link w:val="TACChar"/>
    <w:rsid w:val="00434B3B"/>
    <w:pPr>
      <w:jc w:val="center"/>
    </w:pPr>
  </w:style>
  <w:style w:type="paragraph" w:customStyle="1" w:styleId="TF">
    <w:name w:val="TF"/>
    <w:basedOn w:val="TH"/>
    <w:rsid w:val="00434B3B"/>
    <w:pPr>
      <w:keepNext w:val="0"/>
      <w:spacing w:before="0" w:after="240"/>
    </w:pPr>
  </w:style>
  <w:style w:type="paragraph" w:customStyle="1" w:styleId="NO">
    <w:name w:val="NO"/>
    <w:basedOn w:val="Normal"/>
    <w:rsid w:val="00434B3B"/>
    <w:pPr>
      <w:keepLines/>
      <w:ind w:left="1135" w:hanging="851"/>
    </w:pPr>
  </w:style>
  <w:style w:type="paragraph" w:styleId="TOC9">
    <w:name w:val="toc 9"/>
    <w:basedOn w:val="TOC8"/>
    <w:semiHidden/>
    <w:rsid w:val="00434B3B"/>
    <w:pPr>
      <w:ind w:left="1418" w:hanging="1418"/>
    </w:pPr>
  </w:style>
  <w:style w:type="paragraph" w:customStyle="1" w:styleId="EX">
    <w:name w:val="EX"/>
    <w:basedOn w:val="Normal"/>
    <w:rsid w:val="00434B3B"/>
    <w:pPr>
      <w:keepLines/>
      <w:ind w:left="1702" w:hanging="1418"/>
    </w:pPr>
  </w:style>
  <w:style w:type="paragraph" w:customStyle="1" w:styleId="FP">
    <w:name w:val="FP"/>
    <w:basedOn w:val="Normal"/>
    <w:rsid w:val="00434B3B"/>
    <w:pPr>
      <w:spacing w:after="0"/>
    </w:pPr>
  </w:style>
  <w:style w:type="paragraph" w:customStyle="1" w:styleId="LD">
    <w:name w:val="LD"/>
    <w:rsid w:val="00434B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434B3B"/>
    <w:pPr>
      <w:spacing w:after="0"/>
    </w:pPr>
  </w:style>
  <w:style w:type="paragraph" w:customStyle="1" w:styleId="EW">
    <w:name w:val="EW"/>
    <w:basedOn w:val="EX"/>
    <w:rsid w:val="00434B3B"/>
    <w:pPr>
      <w:spacing w:after="0"/>
    </w:pPr>
  </w:style>
  <w:style w:type="paragraph" w:styleId="TOC6">
    <w:name w:val="toc 6"/>
    <w:basedOn w:val="TOC5"/>
    <w:next w:val="Normal"/>
    <w:semiHidden/>
    <w:rsid w:val="00434B3B"/>
    <w:pPr>
      <w:ind w:left="1985" w:hanging="1985"/>
    </w:pPr>
  </w:style>
  <w:style w:type="paragraph" w:styleId="TOC7">
    <w:name w:val="toc 7"/>
    <w:basedOn w:val="TOC6"/>
    <w:next w:val="Normal"/>
    <w:semiHidden/>
    <w:rsid w:val="00434B3B"/>
    <w:pPr>
      <w:ind w:left="2268" w:hanging="2268"/>
    </w:pPr>
  </w:style>
  <w:style w:type="paragraph" w:styleId="ListBullet2">
    <w:name w:val="List Bullet 2"/>
    <w:basedOn w:val="ListBullet"/>
    <w:semiHidden/>
    <w:rsid w:val="00434B3B"/>
    <w:pPr>
      <w:ind w:left="851"/>
    </w:pPr>
  </w:style>
  <w:style w:type="paragraph" w:styleId="ListBullet3">
    <w:name w:val="List Bullet 3"/>
    <w:basedOn w:val="ListBullet2"/>
    <w:semiHidden/>
    <w:rsid w:val="00434B3B"/>
    <w:pPr>
      <w:ind w:left="1135"/>
    </w:pPr>
  </w:style>
  <w:style w:type="paragraph" w:styleId="ListNumber">
    <w:name w:val="List Number"/>
    <w:basedOn w:val="List"/>
    <w:semiHidden/>
    <w:rsid w:val="00434B3B"/>
  </w:style>
  <w:style w:type="paragraph" w:customStyle="1" w:styleId="EQ">
    <w:name w:val="EQ"/>
    <w:basedOn w:val="Normal"/>
    <w:next w:val="Normal"/>
    <w:rsid w:val="00434B3B"/>
    <w:pPr>
      <w:keepLines/>
      <w:tabs>
        <w:tab w:val="center" w:pos="4536"/>
        <w:tab w:val="right" w:pos="9072"/>
      </w:tabs>
    </w:pPr>
    <w:rPr>
      <w:noProof/>
    </w:rPr>
  </w:style>
  <w:style w:type="paragraph" w:customStyle="1" w:styleId="TH">
    <w:name w:val="TH"/>
    <w:basedOn w:val="Normal"/>
    <w:link w:val="THChar"/>
    <w:rsid w:val="00434B3B"/>
    <w:pPr>
      <w:keepNext/>
      <w:keepLines/>
      <w:spacing w:before="60"/>
      <w:jc w:val="center"/>
    </w:pPr>
    <w:rPr>
      <w:rFonts w:ascii="Arial" w:hAnsi="Arial"/>
      <w:b/>
    </w:rPr>
  </w:style>
  <w:style w:type="paragraph" w:customStyle="1" w:styleId="NF">
    <w:name w:val="NF"/>
    <w:basedOn w:val="NO"/>
    <w:rsid w:val="00434B3B"/>
    <w:pPr>
      <w:keepNext/>
      <w:spacing w:after="0"/>
    </w:pPr>
    <w:rPr>
      <w:rFonts w:ascii="Arial" w:hAnsi="Arial"/>
      <w:sz w:val="18"/>
    </w:rPr>
  </w:style>
  <w:style w:type="paragraph" w:customStyle="1" w:styleId="PL">
    <w:name w:val="PL"/>
    <w:rsid w:val="00434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34B3B"/>
    <w:pPr>
      <w:jc w:val="right"/>
    </w:pPr>
  </w:style>
  <w:style w:type="paragraph" w:customStyle="1" w:styleId="H6">
    <w:name w:val="H6"/>
    <w:basedOn w:val="Heading5"/>
    <w:next w:val="Normal"/>
    <w:rsid w:val="00434B3B"/>
    <w:pPr>
      <w:ind w:left="1985" w:hanging="1985"/>
      <w:outlineLvl w:val="9"/>
    </w:pPr>
    <w:rPr>
      <w:sz w:val="20"/>
    </w:rPr>
  </w:style>
  <w:style w:type="paragraph" w:customStyle="1" w:styleId="TAN">
    <w:name w:val="TAN"/>
    <w:basedOn w:val="TAL"/>
    <w:link w:val="TANChar"/>
    <w:rsid w:val="00434B3B"/>
    <w:pPr>
      <w:ind w:left="851" w:hanging="851"/>
    </w:pPr>
  </w:style>
  <w:style w:type="paragraph" w:customStyle="1" w:styleId="TAL">
    <w:name w:val="TAL"/>
    <w:basedOn w:val="Normal"/>
    <w:link w:val="TALCar"/>
    <w:rsid w:val="00434B3B"/>
    <w:pPr>
      <w:keepNext/>
      <w:keepLines/>
      <w:spacing w:after="0"/>
    </w:pPr>
    <w:rPr>
      <w:rFonts w:ascii="Arial" w:hAnsi="Arial"/>
      <w:sz w:val="18"/>
    </w:rPr>
  </w:style>
  <w:style w:type="paragraph" w:customStyle="1" w:styleId="ZA">
    <w:name w:val="ZA"/>
    <w:rsid w:val="00434B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34B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34B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434B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34B3B"/>
    <w:pPr>
      <w:framePr w:wrap="notBeside" w:y="16161"/>
    </w:pPr>
  </w:style>
  <w:style w:type="character" w:customStyle="1" w:styleId="ZGSM">
    <w:name w:val="ZGSM"/>
    <w:rsid w:val="00434B3B"/>
  </w:style>
  <w:style w:type="paragraph" w:styleId="List2">
    <w:name w:val="List 2"/>
    <w:basedOn w:val="List"/>
    <w:semiHidden/>
    <w:rsid w:val="00434B3B"/>
    <w:pPr>
      <w:ind w:left="851"/>
    </w:pPr>
  </w:style>
  <w:style w:type="paragraph" w:customStyle="1" w:styleId="ZG">
    <w:name w:val="ZG"/>
    <w:rsid w:val="00434B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434B3B"/>
    <w:pPr>
      <w:ind w:left="1135"/>
    </w:pPr>
  </w:style>
  <w:style w:type="paragraph" w:styleId="List4">
    <w:name w:val="List 4"/>
    <w:basedOn w:val="List3"/>
    <w:semiHidden/>
    <w:rsid w:val="00434B3B"/>
    <w:pPr>
      <w:ind w:left="1418"/>
    </w:pPr>
  </w:style>
  <w:style w:type="paragraph" w:styleId="List5">
    <w:name w:val="List 5"/>
    <w:basedOn w:val="List4"/>
    <w:semiHidden/>
    <w:rsid w:val="00434B3B"/>
    <w:pPr>
      <w:ind w:left="1702"/>
    </w:pPr>
  </w:style>
  <w:style w:type="paragraph" w:customStyle="1" w:styleId="EditorsNote">
    <w:name w:val="Editor's Note"/>
    <w:basedOn w:val="NO"/>
    <w:rsid w:val="00434B3B"/>
    <w:rPr>
      <w:color w:val="FF0000"/>
    </w:rPr>
  </w:style>
  <w:style w:type="paragraph" w:styleId="List">
    <w:name w:val="List"/>
    <w:basedOn w:val="Normal"/>
    <w:semiHidden/>
    <w:rsid w:val="00434B3B"/>
    <w:pPr>
      <w:ind w:left="568" w:hanging="284"/>
    </w:pPr>
  </w:style>
  <w:style w:type="paragraph" w:styleId="ListBullet">
    <w:name w:val="List Bullet"/>
    <w:basedOn w:val="List"/>
    <w:semiHidden/>
    <w:rsid w:val="00434B3B"/>
  </w:style>
  <w:style w:type="paragraph" w:styleId="ListBullet4">
    <w:name w:val="List Bullet 4"/>
    <w:basedOn w:val="ListBullet3"/>
    <w:semiHidden/>
    <w:rsid w:val="00434B3B"/>
    <w:pPr>
      <w:ind w:left="1418"/>
    </w:pPr>
  </w:style>
  <w:style w:type="paragraph" w:styleId="ListBullet5">
    <w:name w:val="List Bullet 5"/>
    <w:basedOn w:val="ListBullet4"/>
    <w:semiHidden/>
    <w:rsid w:val="00434B3B"/>
    <w:pPr>
      <w:ind w:left="1702"/>
    </w:pPr>
  </w:style>
  <w:style w:type="paragraph" w:customStyle="1" w:styleId="B2">
    <w:name w:val="B2"/>
    <w:basedOn w:val="List2"/>
    <w:rsid w:val="00434B3B"/>
  </w:style>
  <w:style w:type="paragraph" w:customStyle="1" w:styleId="B3">
    <w:name w:val="B3"/>
    <w:basedOn w:val="List3"/>
    <w:rsid w:val="00434B3B"/>
  </w:style>
  <w:style w:type="paragraph" w:customStyle="1" w:styleId="B4">
    <w:name w:val="B4"/>
    <w:basedOn w:val="List4"/>
    <w:rsid w:val="00434B3B"/>
  </w:style>
  <w:style w:type="paragraph" w:customStyle="1" w:styleId="B5">
    <w:name w:val="B5"/>
    <w:basedOn w:val="List5"/>
    <w:rsid w:val="00434B3B"/>
  </w:style>
  <w:style w:type="paragraph" w:customStyle="1" w:styleId="ZTD">
    <w:name w:val="ZTD"/>
    <w:basedOn w:val="ZB"/>
    <w:rsid w:val="00434B3B"/>
    <w:pPr>
      <w:framePr w:hRule="auto" w:wrap="notBeside" w:y="852"/>
    </w:pPr>
    <w:rPr>
      <w:i w:val="0"/>
      <w:sz w:val="40"/>
    </w:rPr>
  </w:style>
  <w:style w:type="paragraph" w:customStyle="1" w:styleId="MTDisplayEquation">
    <w:name w:val="MTDisplayEquation"/>
    <w:basedOn w:val="Normal"/>
    <w:next w:val="Normal"/>
    <w:link w:val="MTDisplayEquationChar"/>
    <w:rsid w:val="00E41928"/>
    <w:pPr>
      <w:tabs>
        <w:tab w:val="center" w:pos="4920"/>
        <w:tab w:val="right" w:pos="9860"/>
      </w:tabs>
    </w:pPr>
    <w:rPr>
      <w:kern w:val="2"/>
    </w:rPr>
  </w:style>
  <w:style w:type="character" w:customStyle="1" w:styleId="MTDisplayEquationChar">
    <w:name w:val="MTDisplayEquation Char"/>
    <w:link w:val="MTDisplayEquation"/>
    <w:rsid w:val="00E41928"/>
    <w:rPr>
      <w:kern w:val="2"/>
      <w:lang w:val="en-GB" w:eastAsia="ja-JP"/>
    </w:rPr>
  </w:style>
  <w:style w:type="paragraph" w:styleId="Caption">
    <w:name w:val="caption"/>
    <w:basedOn w:val="Normal"/>
    <w:next w:val="Normal"/>
    <w:unhideWhenUsed/>
    <w:qFormat/>
    <w:rsid w:val="00152E6C"/>
    <w:rPr>
      <w:b/>
      <w:bCs/>
    </w:rPr>
  </w:style>
  <w:style w:type="paragraph" w:styleId="ListParagraph">
    <w:name w:val="List Paragraph"/>
    <w:basedOn w:val="Normal"/>
    <w:uiPriority w:val="34"/>
    <w:qFormat/>
    <w:rsid w:val="00C84000"/>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THChar">
    <w:name w:val="TH Char"/>
    <w:link w:val="TH"/>
    <w:rsid w:val="000A6D6F"/>
    <w:rPr>
      <w:rFonts w:ascii="Arial" w:hAnsi="Arial"/>
      <w:b/>
      <w:lang w:val="en-GB" w:eastAsia="ja-JP"/>
    </w:rPr>
  </w:style>
  <w:style w:type="table" w:styleId="TableGrid">
    <w:name w:val="Table Grid"/>
    <w:basedOn w:val="TableNormal"/>
    <w:uiPriority w:val="59"/>
    <w:rsid w:val="005D0F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017818"/>
    <w:rPr>
      <w:rFonts w:ascii="Tahoma" w:hAnsi="Tahoma"/>
      <w:sz w:val="16"/>
      <w:szCs w:val="16"/>
    </w:rPr>
  </w:style>
  <w:style w:type="character" w:customStyle="1" w:styleId="DocumentMapChar">
    <w:name w:val="Document Map Char"/>
    <w:link w:val="DocumentMap"/>
    <w:uiPriority w:val="99"/>
    <w:semiHidden/>
    <w:rsid w:val="00017818"/>
    <w:rPr>
      <w:rFonts w:ascii="Tahoma" w:hAnsi="Tahoma" w:cs="Tahoma"/>
      <w:sz w:val="16"/>
      <w:szCs w:val="16"/>
      <w:lang w:val="en-GB" w:eastAsia="ja-JP"/>
    </w:rPr>
  </w:style>
  <w:style w:type="character" w:customStyle="1" w:styleId="TALCar">
    <w:name w:val="TAL Car"/>
    <w:link w:val="TAL"/>
    <w:rsid w:val="00601025"/>
    <w:rPr>
      <w:rFonts w:ascii="Arial" w:hAnsi="Arial"/>
      <w:sz w:val="18"/>
      <w:lang w:val="en-GB" w:eastAsia="ja-JP"/>
    </w:rPr>
  </w:style>
  <w:style w:type="character" w:customStyle="1" w:styleId="TACChar">
    <w:name w:val="TAC Char"/>
    <w:link w:val="TAC"/>
    <w:rsid w:val="00601025"/>
    <w:rPr>
      <w:rFonts w:ascii="Arial" w:hAnsi="Arial"/>
      <w:sz w:val="18"/>
      <w:lang w:val="en-GB" w:eastAsia="ja-JP"/>
    </w:rPr>
  </w:style>
  <w:style w:type="character" w:customStyle="1" w:styleId="TAHCar">
    <w:name w:val="TAH Car"/>
    <w:link w:val="TAH"/>
    <w:rsid w:val="00601025"/>
    <w:rPr>
      <w:rFonts w:ascii="Arial" w:hAnsi="Arial"/>
      <w:b/>
      <w:sz w:val="18"/>
      <w:lang w:val="en-GB" w:eastAsia="ja-JP"/>
    </w:rPr>
  </w:style>
  <w:style w:type="character" w:customStyle="1" w:styleId="TANChar">
    <w:name w:val="TAN Char"/>
    <w:basedOn w:val="TALCar"/>
    <w:link w:val="TAN"/>
    <w:rsid w:val="0060102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82251"/>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2251"/>
    <w:rPr>
      <w:rFonts w:eastAsia="Times New Roman"/>
      <w:lang w:val="en-GB" w:eastAsia="ja-JP"/>
    </w:rPr>
  </w:style>
  <w:style w:type="character" w:styleId="PlaceholderText">
    <w:name w:val="Placeholder Text"/>
    <w:basedOn w:val="DefaultParagraphFont"/>
    <w:uiPriority w:val="99"/>
    <w:semiHidden/>
    <w:rsid w:val="00E63919"/>
    <w:rPr>
      <w:color w:val="808080"/>
    </w:rPr>
  </w:style>
</w:styles>
</file>

<file path=word/webSettings.xml><?xml version="1.0" encoding="utf-8"?>
<w:webSettings xmlns:r="http://schemas.openxmlformats.org/officeDocument/2006/relationships" xmlns:w="http://schemas.openxmlformats.org/wordprocessingml/2006/main">
  <w:divs>
    <w:div w:id="90784020">
      <w:bodyDiv w:val="1"/>
      <w:marLeft w:val="0"/>
      <w:marRight w:val="0"/>
      <w:marTop w:val="0"/>
      <w:marBottom w:val="0"/>
      <w:divBdr>
        <w:top w:val="none" w:sz="0" w:space="0" w:color="auto"/>
        <w:left w:val="none" w:sz="0" w:space="0" w:color="auto"/>
        <w:bottom w:val="none" w:sz="0" w:space="0" w:color="auto"/>
        <w:right w:val="none" w:sz="0" w:space="0" w:color="auto"/>
      </w:divBdr>
    </w:div>
    <w:div w:id="109445787">
      <w:bodyDiv w:val="1"/>
      <w:marLeft w:val="0"/>
      <w:marRight w:val="0"/>
      <w:marTop w:val="0"/>
      <w:marBottom w:val="0"/>
      <w:divBdr>
        <w:top w:val="none" w:sz="0" w:space="0" w:color="auto"/>
        <w:left w:val="none" w:sz="0" w:space="0" w:color="auto"/>
        <w:bottom w:val="none" w:sz="0" w:space="0" w:color="auto"/>
        <w:right w:val="none" w:sz="0" w:space="0" w:color="auto"/>
      </w:divBdr>
    </w:div>
    <w:div w:id="113407980">
      <w:bodyDiv w:val="1"/>
      <w:marLeft w:val="0"/>
      <w:marRight w:val="0"/>
      <w:marTop w:val="0"/>
      <w:marBottom w:val="0"/>
      <w:divBdr>
        <w:top w:val="none" w:sz="0" w:space="0" w:color="auto"/>
        <w:left w:val="none" w:sz="0" w:space="0" w:color="auto"/>
        <w:bottom w:val="none" w:sz="0" w:space="0" w:color="auto"/>
        <w:right w:val="none" w:sz="0" w:space="0" w:color="auto"/>
      </w:divBdr>
    </w:div>
    <w:div w:id="227345238">
      <w:bodyDiv w:val="1"/>
      <w:marLeft w:val="0"/>
      <w:marRight w:val="0"/>
      <w:marTop w:val="0"/>
      <w:marBottom w:val="0"/>
      <w:divBdr>
        <w:top w:val="none" w:sz="0" w:space="0" w:color="auto"/>
        <w:left w:val="none" w:sz="0" w:space="0" w:color="auto"/>
        <w:bottom w:val="none" w:sz="0" w:space="0" w:color="auto"/>
        <w:right w:val="none" w:sz="0" w:space="0" w:color="auto"/>
      </w:divBdr>
    </w:div>
    <w:div w:id="235559129">
      <w:bodyDiv w:val="1"/>
      <w:marLeft w:val="0"/>
      <w:marRight w:val="0"/>
      <w:marTop w:val="0"/>
      <w:marBottom w:val="0"/>
      <w:divBdr>
        <w:top w:val="none" w:sz="0" w:space="0" w:color="auto"/>
        <w:left w:val="none" w:sz="0" w:space="0" w:color="auto"/>
        <w:bottom w:val="none" w:sz="0" w:space="0" w:color="auto"/>
        <w:right w:val="none" w:sz="0" w:space="0" w:color="auto"/>
      </w:divBdr>
    </w:div>
    <w:div w:id="318508863">
      <w:bodyDiv w:val="1"/>
      <w:marLeft w:val="0"/>
      <w:marRight w:val="0"/>
      <w:marTop w:val="0"/>
      <w:marBottom w:val="0"/>
      <w:divBdr>
        <w:top w:val="none" w:sz="0" w:space="0" w:color="auto"/>
        <w:left w:val="none" w:sz="0" w:space="0" w:color="auto"/>
        <w:bottom w:val="none" w:sz="0" w:space="0" w:color="auto"/>
        <w:right w:val="none" w:sz="0" w:space="0" w:color="auto"/>
      </w:divBdr>
    </w:div>
    <w:div w:id="327440634">
      <w:bodyDiv w:val="1"/>
      <w:marLeft w:val="0"/>
      <w:marRight w:val="0"/>
      <w:marTop w:val="0"/>
      <w:marBottom w:val="0"/>
      <w:divBdr>
        <w:top w:val="none" w:sz="0" w:space="0" w:color="auto"/>
        <w:left w:val="none" w:sz="0" w:space="0" w:color="auto"/>
        <w:bottom w:val="none" w:sz="0" w:space="0" w:color="auto"/>
        <w:right w:val="none" w:sz="0" w:space="0" w:color="auto"/>
      </w:divBdr>
    </w:div>
    <w:div w:id="342325839">
      <w:bodyDiv w:val="1"/>
      <w:marLeft w:val="0"/>
      <w:marRight w:val="0"/>
      <w:marTop w:val="0"/>
      <w:marBottom w:val="0"/>
      <w:divBdr>
        <w:top w:val="none" w:sz="0" w:space="0" w:color="auto"/>
        <w:left w:val="none" w:sz="0" w:space="0" w:color="auto"/>
        <w:bottom w:val="none" w:sz="0" w:space="0" w:color="auto"/>
        <w:right w:val="none" w:sz="0" w:space="0" w:color="auto"/>
      </w:divBdr>
      <w:divsChild>
        <w:div w:id="202602320">
          <w:marLeft w:val="1800"/>
          <w:marRight w:val="0"/>
          <w:marTop w:val="77"/>
          <w:marBottom w:val="0"/>
          <w:divBdr>
            <w:top w:val="none" w:sz="0" w:space="0" w:color="auto"/>
            <w:left w:val="none" w:sz="0" w:space="0" w:color="auto"/>
            <w:bottom w:val="none" w:sz="0" w:space="0" w:color="auto"/>
            <w:right w:val="none" w:sz="0" w:space="0" w:color="auto"/>
          </w:divBdr>
        </w:div>
        <w:div w:id="474764325">
          <w:marLeft w:val="1800"/>
          <w:marRight w:val="0"/>
          <w:marTop w:val="77"/>
          <w:marBottom w:val="0"/>
          <w:divBdr>
            <w:top w:val="none" w:sz="0" w:space="0" w:color="auto"/>
            <w:left w:val="none" w:sz="0" w:space="0" w:color="auto"/>
            <w:bottom w:val="none" w:sz="0" w:space="0" w:color="auto"/>
            <w:right w:val="none" w:sz="0" w:space="0" w:color="auto"/>
          </w:divBdr>
        </w:div>
        <w:div w:id="480536340">
          <w:marLeft w:val="547"/>
          <w:marRight w:val="0"/>
          <w:marTop w:val="96"/>
          <w:marBottom w:val="0"/>
          <w:divBdr>
            <w:top w:val="none" w:sz="0" w:space="0" w:color="auto"/>
            <w:left w:val="none" w:sz="0" w:space="0" w:color="auto"/>
            <w:bottom w:val="none" w:sz="0" w:space="0" w:color="auto"/>
            <w:right w:val="none" w:sz="0" w:space="0" w:color="auto"/>
          </w:divBdr>
        </w:div>
        <w:div w:id="523203759">
          <w:marLeft w:val="1800"/>
          <w:marRight w:val="0"/>
          <w:marTop w:val="77"/>
          <w:marBottom w:val="0"/>
          <w:divBdr>
            <w:top w:val="none" w:sz="0" w:space="0" w:color="auto"/>
            <w:left w:val="none" w:sz="0" w:space="0" w:color="auto"/>
            <w:bottom w:val="none" w:sz="0" w:space="0" w:color="auto"/>
            <w:right w:val="none" w:sz="0" w:space="0" w:color="auto"/>
          </w:divBdr>
        </w:div>
        <w:div w:id="585455096">
          <w:marLeft w:val="1166"/>
          <w:marRight w:val="0"/>
          <w:marTop w:val="86"/>
          <w:marBottom w:val="0"/>
          <w:divBdr>
            <w:top w:val="none" w:sz="0" w:space="0" w:color="auto"/>
            <w:left w:val="none" w:sz="0" w:space="0" w:color="auto"/>
            <w:bottom w:val="none" w:sz="0" w:space="0" w:color="auto"/>
            <w:right w:val="none" w:sz="0" w:space="0" w:color="auto"/>
          </w:divBdr>
        </w:div>
        <w:div w:id="1070274779">
          <w:marLeft w:val="1800"/>
          <w:marRight w:val="0"/>
          <w:marTop w:val="77"/>
          <w:marBottom w:val="0"/>
          <w:divBdr>
            <w:top w:val="none" w:sz="0" w:space="0" w:color="auto"/>
            <w:left w:val="none" w:sz="0" w:space="0" w:color="auto"/>
            <w:bottom w:val="none" w:sz="0" w:space="0" w:color="auto"/>
            <w:right w:val="none" w:sz="0" w:space="0" w:color="auto"/>
          </w:divBdr>
        </w:div>
        <w:div w:id="1258756702">
          <w:marLeft w:val="1800"/>
          <w:marRight w:val="0"/>
          <w:marTop w:val="77"/>
          <w:marBottom w:val="0"/>
          <w:divBdr>
            <w:top w:val="none" w:sz="0" w:space="0" w:color="auto"/>
            <w:left w:val="none" w:sz="0" w:space="0" w:color="auto"/>
            <w:bottom w:val="none" w:sz="0" w:space="0" w:color="auto"/>
            <w:right w:val="none" w:sz="0" w:space="0" w:color="auto"/>
          </w:divBdr>
        </w:div>
        <w:div w:id="1599406993">
          <w:marLeft w:val="1166"/>
          <w:marRight w:val="0"/>
          <w:marTop w:val="86"/>
          <w:marBottom w:val="0"/>
          <w:divBdr>
            <w:top w:val="none" w:sz="0" w:space="0" w:color="auto"/>
            <w:left w:val="none" w:sz="0" w:space="0" w:color="auto"/>
            <w:bottom w:val="none" w:sz="0" w:space="0" w:color="auto"/>
            <w:right w:val="none" w:sz="0" w:space="0" w:color="auto"/>
          </w:divBdr>
        </w:div>
      </w:divsChild>
    </w:div>
    <w:div w:id="595527451">
      <w:bodyDiv w:val="1"/>
      <w:marLeft w:val="0"/>
      <w:marRight w:val="0"/>
      <w:marTop w:val="0"/>
      <w:marBottom w:val="0"/>
      <w:divBdr>
        <w:top w:val="none" w:sz="0" w:space="0" w:color="auto"/>
        <w:left w:val="none" w:sz="0" w:space="0" w:color="auto"/>
        <w:bottom w:val="none" w:sz="0" w:space="0" w:color="auto"/>
        <w:right w:val="none" w:sz="0" w:space="0" w:color="auto"/>
      </w:divBdr>
    </w:div>
    <w:div w:id="609896107">
      <w:bodyDiv w:val="1"/>
      <w:marLeft w:val="0"/>
      <w:marRight w:val="0"/>
      <w:marTop w:val="0"/>
      <w:marBottom w:val="0"/>
      <w:divBdr>
        <w:top w:val="none" w:sz="0" w:space="0" w:color="auto"/>
        <w:left w:val="none" w:sz="0" w:space="0" w:color="auto"/>
        <w:bottom w:val="none" w:sz="0" w:space="0" w:color="auto"/>
        <w:right w:val="none" w:sz="0" w:space="0" w:color="auto"/>
      </w:divBdr>
    </w:div>
    <w:div w:id="627203805">
      <w:bodyDiv w:val="1"/>
      <w:marLeft w:val="0"/>
      <w:marRight w:val="0"/>
      <w:marTop w:val="0"/>
      <w:marBottom w:val="0"/>
      <w:divBdr>
        <w:top w:val="none" w:sz="0" w:space="0" w:color="auto"/>
        <w:left w:val="none" w:sz="0" w:space="0" w:color="auto"/>
        <w:bottom w:val="none" w:sz="0" w:space="0" w:color="auto"/>
        <w:right w:val="none" w:sz="0" w:space="0" w:color="auto"/>
      </w:divBdr>
    </w:div>
    <w:div w:id="655303172">
      <w:bodyDiv w:val="1"/>
      <w:marLeft w:val="0"/>
      <w:marRight w:val="0"/>
      <w:marTop w:val="0"/>
      <w:marBottom w:val="0"/>
      <w:divBdr>
        <w:top w:val="none" w:sz="0" w:space="0" w:color="auto"/>
        <w:left w:val="none" w:sz="0" w:space="0" w:color="auto"/>
        <w:bottom w:val="none" w:sz="0" w:space="0" w:color="auto"/>
        <w:right w:val="none" w:sz="0" w:space="0" w:color="auto"/>
      </w:divBdr>
    </w:div>
    <w:div w:id="686441025">
      <w:bodyDiv w:val="1"/>
      <w:marLeft w:val="0"/>
      <w:marRight w:val="0"/>
      <w:marTop w:val="0"/>
      <w:marBottom w:val="0"/>
      <w:divBdr>
        <w:top w:val="none" w:sz="0" w:space="0" w:color="auto"/>
        <w:left w:val="none" w:sz="0" w:space="0" w:color="auto"/>
        <w:bottom w:val="none" w:sz="0" w:space="0" w:color="auto"/>
        <w:right w:val="none" w:sz="0" w:space="0" w:color="auto"/>
      </w:divBdr>
    </w:div>
    <w:div w:id="705984497">
      <w:bodyDiv w:val="1"/>
      <w:marLeft w:val="0"/>
      <w:marRight w:val="0"/>
      <w:marTop w:val="0"/>
      <w:marBottom w:val="0"/>
      <w:divBdr>
        <w:top w:val="none" w:sz="0" w:space="0" w:color="auto"/>
        <w:left w:val="none" w:sz="0" w:space="0" w:color="auto"/>
        <w:bottom w:val="none" w:sz="0" w:space="0" w:color="auto"/>
        <w:right w:val="none" w:sz="0" w:space="0" w:color="auto"/>
      </w:divBdr>
    </w:div>
    <w:div w:id="722632294">
      <w:bodyDiv w:val="1"/>
      <w:marLeft w:val="0"/>
      <w:marRight w:val="0"/>
      <w:marTop w:val="0"/>
      <w:marBottom w:val="0"/>
      <w:divBdr>
        <w:top w:val="none" w:sz="0" w:space="0" w:color="auto"/>
        <w:left w:val="none" w:sz="0" w:space="0" w:color="auto"/>
        <w:bottom w:val="none" w:sz="0" w:space="0" w:color="auto"/>
        <w:right w:val="none" w:sz="0" w:space="0" w:color="auto"/>
      </w:divBdr>
      <w:divsChild>
        <w:div w:id="712192929">
          <w:marLeft w:val="547"/>
          <w:marRight w:val="0"/>
          <w:marTop w:val="96"/>
          <w:marBottom w:val="0"/>
          <w:divBdr>
            <w:top w:val="none" w:sz="0" w:space="0" w:color="auto"/>
            <w:left w:val="none" w:sz="0" w:space="0" w:color="auto"/>
            <w:bottom w:val="none" w:sz="0" w:space="0" w:color="auto"/>
            <w:right w:val="none" w:sz="0" w:space="0" w:color="auto"/>
          </w:divBdr>
        </w:div>
        <w:div w:id="817578397">
          <w:marLeft w:val="1800"/>
          <w:marRight w:val="0"/>
          <w:marTop w:val="77"/>
          <w:marBottom w:val="0"/>
          <w:divBdr>
            <w:top w:val="none" w:sz="0" w:space="0" w:color="auto"/>
            <w:left w:val="none" w:sz="0" w:space="0" w:color="auto"/>
            <w:bottom w:val="none" w:sz="0" w:space="0" w:color="auto"/>
            <w:right w:val="none" w:sz="0" w:space="0" w:color="auto"/>
          </w:divBdr>
        </w:div>
        <w:div w:id="1079860884">
          <w:marLeft w:val="1800"/>
          <w:marRight w:val="0"/>
          <w:marTop w:val="77"/>
          <w:marBottom w:val="0"/>
          <w:divBdr>
            <w:top w:val="none" w:sz="0" w:space="0" w:color="auto"/>
            <w:left w:val="none" w:sz="0" w:space="0" w:color="auto"/>
            <w:bottom w:val="none" w:sz="0" w:space="0" w:color="auto"/>
            <w:right w:val="none" w:sz="0" w:space="0" w:color="auto"/>
          </w:divBdr>
        </w:div>
        <w:div w:id="1120953335">
          <w:marLeft w:val="1166"/>
          <w:marRight w:val="0"/>
          <w:marTop w:val="86"/>
          <w:marBottom w:val="0"/>
          <w:divBdr>
            <w:top w:val="none" w:sz="0" w:space="0" w:color="auto"/>
            <w:left w:val="none" w:sz="0" w:space="0" w:color="auto"/>
            <w:bottom w:val="none" w:sz="0" w:space="0" w:color="auto"/>
            <w:right w:val="none" w:sz="0" w:space="0" w:color="auto"/>
          </w:divBdr>
        </w:div>
        <w:div w:id="1698190917">
          <w:marLeft w:val="1800"/>
          <w:marRight w:val="0"/>
          <w:marTop w:val="77"/>
          <w:marBottom w:val="0"/>
          <w:divBdr>
            <w:top w:val="none" w:sz="0" w:space="0" w:color="auto"/>
            <w:left w:val="none" w:sz="0" w:space="0" w:color="auto"/>
            <w:bottom w:val="none" w:sz="0" w:space="0" w:color="auto"/>
            <w:right w:val="none" w:sz="0" w:space="0" w:color="auto"/>
          </w:divBdr>
        </w:div>
        <w:div w:id="1706175260">
          <w:marLeft w:val="1800"/>
          <w:marRight w:val="0"/>
          <w:marTop w:val="77"/>
          <w:marBottom w:val="0"/>
          <w:divBdr>
            <w:top w:val="none" w:sz="0" w:space="0" w:color="auto"/>
            <w:left w:val="none" w:sz="0" w:space="0" w:color="auto"/>
            <w:bottom w:val="none" w:sz="0" w:space="0" w:color="auto"/>
            <w:right w:val="none" w:sz="0" w:space="0" w:color="auto"/>
          </w:divBdr>
        </w:div>
        <w:div w:id="1848053707">
          <w:marLeft w:val="1800"/>
          <w:marRight w:val="0"/>
          <w:marTop w:val="77"/>
          <w:marBottom w:val="0"/>
          <w:divBdr>
            <w:top w:val="none" w:sz="0" w:space="0" w:color="auto"/>
            <w:left w:val="none" w:sz="0" w:space="0" w:color="auto"/>
            <w:bottom w:val="none" w:sz="0" w:space="0" w:color="auto"/>
            <w:right w:val="none" w:sz="0" w:space="0" w:color="auto"/>
          </w:divBdr>
        </w:div>
        <w:div w:id="2067756136">
          <w:marLeft w:val="1166"/>
          <w:marRight w:val="0"/>
          <w:marTop w:val="86"/>
          <w:marBottom w:val="0"/>
          <w:divBdr>
            <w:top w:val="none" w:sz="0" w:space="0" w:color="auto"/>
            <w:left w:val="none" w:sz="0" w:space="0" w:color="auto"/>
            <w:bottom w:val="none" w:sz="0" w:space="0" w:color="auto"/>
            <w:right w:val="none" w:sz="0" w:space="0" w:color="auto"/>
          </w:divBdr>
        </w:div>
      </w:divsChild>
    </w:div>
    <w:div w:id="897517880">
      <w:bodyDiv w:val="1"/>
      <w:marLeft w:val="0"/>
      <w:marRight w:val="0"/>
      <w:marTop w:val="0"/>
      <w:marBottom w:val="0"/>
      <w:divBdr>
        <w:top w:val="none" w:sz="0" w:space="0" w:color="auto"/>
        <w:left w:val="none" w:sz="0" w:space="0" w:color="auto"/>
        <w:bottom w:val="none" w:sz="0" w:space="0" w:color="auto"/>
        <w:right w:val="none" w:sz="0" w:space="0" w:color="auto"/>
      </w:divBdr>
    </w:div>
    <w:div w:id="901401837">
      <w:bodyDiv w:val="1"/>
      <w:marLeft w:val="0"/>
      <w:marRight w:val="0"/>
      <w:marTop w:val="0"/>
      <w:marBottom w:val="0"/>
      <w:divBdr>
        <w:top w:val="none" w:sz="0" w:space="0" w:color="auto"/>
        <w:left w:val="none" w:sz="0" w:space="0" w:color="auto"/>
        <w:bottom w:val="none" w:sz="0" w:space="0" w:color="auto"/>
        <w:right w:val="none" w:sz="0" w:space="0" w:color="auto"/>
      </w:divBdr>
    </w:div>
    <w:div w:id="935402130">
      <w:bodyDiv w:val="1"/>
      <w:marLeft w:val="0"/>
      <w:marRight w:val="0"/>
      <w:marTop w:val="0"/>
      <w:marBottom w:val="0"/>
      <w:divBdr>
        <w:top w:val="none" w:sz="0" w:space="0" w:color="auto"/>
        <w:left w:val="none" w:sz="0" w:space="0" w:color="auto"/>
        <w:bottom w:val="none" w:sz="0" w:space="0" w:color="auto"/>
        <w:right w:val="none" w:sz="0" w:space="0" w:color="auto"/>
      </w:divBdr>
    </w:div>
    <w:div w:id="996811746">
      <w:bodyDiv w:val="1"/>
      <w:marLeft w:val="0"/>
      <w:marRight w:val="0"/>
      <w:marTop w:val="0"/>
      <w:marBottom w:val="0"/>
      <w:divBdr>
        <w:top w:val="none" w:sz="0" w:space="0" w:color="auto"/>
        <w:left w:val="none" w:sz="0" w:space="0" w:color="auto"/>
        <w:bottom w:val="none" w:sz="0" w:space="0" w:color="auto"/>
        <w:right w:val="none" w:sz="0" w:space="0" w:color="auto"/>
      </w:divBdr>
    </w:div>
    <w:div w:id="1022778049">
      <w:bodyDiv w:val="1"/>
      <w:marLeft w:val="0"/>
      <w:marRight w:val="0"/>
      <w:marTop w:val="0"/>
      <w:marBottom w:val="0"/>
      <w:divBdr>
        <w:top w:val="none" w:sz="0" w:space="0" w:color="auto"/>
        <w:left w:val="none" w:sz="0" w:space="0" w:color="auto"/>
        <w:bottom w:val="none" w:sz="0" w:space="0" w:color="auto"/>
        <w:right w:val="none" w:sz="0" w:space="0" w:color="auto"/>
      </w:divBdr>
    </w:div>
    <w:div w:id="1066607666">
      <w:bodyDiv w:val="1"/>
      <w:marLeft w:val="0"/>
      <w:marRight w:val="0"/>
      <w:marTop w:val="0"/>
      <w:marBottom w:val="0"/>
      <w:divBdr>
        <w:top w:val="none" w:sz="0" w:space="0" w:color="auto"/>
        <w:left w:val="none" w:sz="0" w:space="0" w:color="auto"/>
        <w:bottom w:val="none" w:sz="0" w:space="0" w:color="auto"/>
        <w:right w:val="none" w:sz="0" w:space="0" w:color="auto"/>
      </w:divBdr>
    </w:div>
    <w:div w:id="1099764007">
      <w:bodyDiv w:val="1"/>
      <w:marLeft w:val="0"/>
      <w:marRight w:val="0"/>
      <w:marTop w:val="0"/>
      <w:marBottom w:val="0"/>
      <w:divBdr>
        <w:top w:val="none" w:sz="0" w:space="0" w:color="auto"/>
        <w:left w:val="none" w:sz="0" w:space="0" w:color="auto"/>
        <w:bottom w:val="none" w:sz="0" w:space="0" w:color="auto"/>
        <w:right w:val="none" w:sz="0" w:space="0" w:color="auto"/>
      </w:divBdr>
    </w:div>
    <w:div w:id="1105152224">
      <w:bodyDiv w:val="1"/>
      <w:marLeft w:val="0"/>
      <w:marRight w:val="0"/>
      <w:marTop w:val="0"/>
      <w:marBottom w:val="0"/>
      <w:divBdr>
        <w:top w:val="none" w:sz="0" w:space="0" w:color="auto"/>
        <w:left w:val="none" w:sz="0" w:space="0" w:color="auto"/>
        <w:bottom w:val="none" w:sz="0" w:space="0" w:color="auto"/>
        <w:right w:val="none" w:sz="0" w:space="0" w:color="auto"/>
      </w:divBdr>
      <w:divsChild>
        <w:div w:id="1207790462">
          <w:marLeft w:val="360"/>
          <w:marRight w:val="0"/>
          <w:marTop w:val="120"/>
          <w:marBottom w:val="120"/>
          <w:divBdr>
            <w:top w:val="none" w:sz="0" w:space="0" w:color="auto"/>
            <w:left w:val="none" w:sz="0" w:space="0" w:color="auto"/>
            <w:bottom w:val="none" w:sz="0" w:space="0" w:color="auto"/>
            <w:right w:val="none" w:sz="0" w:space="0" w:color="auto"/>
          </w:divBdr>
        </w:div>
        <w:div w:id="1600675695">
          <w:marLeft w:val="360"/>
          <w:marRight w:val="0"/>
          <w:marTop w:val="120"/>
          <w:marBottom w:val="120"/>
          <w:divBdr>
            <w:top w:val="none" w:sz="0" w:space="0" w:color="auto"/>
            <w:left w:val="none" w:sz="0" w:space="0" w:color="auto"/>
            <w:bottom w:val="none" w:sz="0" w:space="0" w:color="auto"/>
            <w:right w:val="none" w:sz="0" w:space="0" w:color="auto"/>
          </w:divBdr>
        </w:div>
      </w:divsChild>
    </w:div>
    <w:div w:id="1122959953">
      <w:bodyDiv w:val="1"/>
      <w:marLeft w:val="0"/>
      <w:marRight w:val="0"/>
      <w:marTop w:val="0"/>
      <w:marBottom w:val="0"/>
      <w:divBdr>
        <w:top w:val="none" w:sz="0" w:space="0" w:color="auto"/>
        <w:left w:val="none" w:sz="0" w:space="0" w:color="auto"/>
        <w:bottom w:val="none" w:sz="0" w:space="0" w:color="auto"/>
        <w:right w:val="none" w:sz="0" w:space="0" w:color="auto"/>
      </w:divBdr>
    </w:div>
    <w:div w:id="1254895662">
      <w:bodyDiv w:val="1"/>
      <w:marLeft w:val="0"/>
      <w:marRight w:val="0"/>
      <w:marTop w:val="0"/>
      <w:marBottom w:val="0"/>
      <w:divBdr>
        <w:top w:val="none" w:sz="0" w:space="0" w:color="auto"/>
        <w:left w:val="none" w:sz="0" w:space="0" w:color="auto"/>
        <w:bottom w:val="none" w:sz="0" w:space="0" w:color="auto"/>
        <w:right w:val="none" w:sz="0" w:space="0" w:color="auto"/>
      </w:divBdr>
    </w:div>
    <w:div w:id="1267805715">
      <w:bodyDiv w:val="1"/>
      <w:marLeft w:val="0"/>
      <w:marRight w:val="0"/>
      <w:marTop w:val="0"/>
      <w:marBottom w:val="0"/>
      <w:divBdr>
        <w:top w:val="none" w:sz="0" w:space="0" w:color="auto"/>
        <w:left w:val="none" w:sz="0" w:space="0" w:color="auto"/>
        <w:bottom w:val="none" w:sz="0" w:space="0" w:color="auto"/>
        <w:right w:val="none" w:sz="0" w:space="0" w:color="auto"/>
      </w:divBdr>
    </w:div>
    <w:div w:id="1282224885">
      <w:bodyDiv w:val="1"/>
      <w:marLeft w:val="0"/>
      <w:marRight w:val="0"/>
      <w:marTop w:val="0"/>
      <w:marBottom w:val="0"/>
      <w:divBdr>
        <w:top w:val="none" w:sz="0" w:space="0" w:color="auto"/>
        <w:left w:val="none" w:sz="0" w:space="0" w:color="auto"/>
        <w:bottom w:val="none" w:sz="0" w:space="0" w:color="auto"/>
        <w:right w:val="none" w:sz="0" w:space="0" w:color="auto"/>
      </w:divBdr>
    </w:div>
    <w:div w:id="1391228742">
      <w:bodyDiv w:val="1"/>
      <w:marLeft w:val="0"/>
      <w:marRight w:val="0"/>
      <w:marTop w:val="0"/>
      <w:marBottom w:val="0"/>
      <w:divBdr>
        <w:top w:val="none" w:sz="0" w:space="0" w:color="auto"/>
        <w:left w:val="none" w:sz="0" w:space="0" w:color="auto"/>
        <w:bottom w:val="none" w:sz="0" w:space="0" w:color="auto"/>
        <w:right w:val="none" w:sz="0" w:space="0" w:color="auto"/>
      </w:divBdr>
    </w:div>
    <w:div w:id="1494299947">
      <w:bodyDiv w:val="1"/>
      <w:marLeft w:val="0"/>
      <w:marRight w:val="0"/>
      <w:marTop w:val="0"/>
      <w:marBottom w:val="0"/>
      <w:divBdr>
        <w:top w:val="none" w:sz="0" w:space="0" w:color="auto"/>
        <w:left w:val="none" w:sz="0" w:space="0" w:color="auto"/>
        <w:bottom w:val="none" w:sz="0" w:space="0" w:color="auto"/>
        <w:right w:val="none" w:sz="0" w:space="0" w:color="auto"/>
      </w:divBdr>
    </w:div>
    <w:div w:id="1604142694">
      <w:bodyDiv w:val="1"/>
      <w:marLeft w:val="0"/>
      <w:marRight w:val="0"/>
      <w:marTop w:val="0"/>
      <w:marBottom w:val="0"/>
      <w:divBdr>
        <w:top w:val="none" w:sz="0" w:space="0" w:color="auto"/>
        <w:left w:val="none" w:sz="0" w:space="0" w:color="auto"/>
        <w:bottom w:val="none" w:sz="0" w:space="0" w:color="auto"/>
        <w:right w:val="none" w:sz="0" w:space="0" w:color="auto"/>
      </w:divBdr>
      <w:divsChild>
        <w:div w:id="1560484031">
          <w:marLeft w:val="547"/>
          <w:marRight w:val="0"/>
          <w:marTop w:val="134"/>
          <w:marBottom w:val="0"/>
          <w:divBdr>
            <w:top w:val="none" w:sz="0" w:space="0" w:color="auto"/>
            <w:left w:val="none" w:sz="0" w:space="0" w:color="auto"/>
            <w:bottom w:val="none" w:sz="0" w:space="0" w:color="auto"/>
            <w:right w:val="none" w:sz="0" w:space="0" w:color="auto"/>
          </w:divBdr>
        </w:div>
      </w:divsChild>
    </w:div>
    <w:div w:id="1621104322">
      <w:bodyDiv w:val="1"/>
      <w:marLeft w:val="0"/>
      <w:marRight w:val="0"/>
      <w:marTop w:val="0"/>
      <w:marBottom w:val="0"/>
      <w:divBdr>
        <w:top w:val="none" w:sz="0" w:space="0" w:color="auto"/>
        <w:left w:val="none" w:sz="0" w:space="0" w:color="auto"/>
        <w:bottom w:val="none" w:sz="0" w:space="0" w:color="auto"/>
        <w:right w:val="none" w:sz="0" w:space="0" w:color="auto"/>
      </w:divBdr>
    </w:div>
    <w:div w:id="1696728674">
      <w:bodyDiv w:val="1"/>
      <w:marLeft w:val="0"/>
      <w:marRight w:val="0"/>
      <w:marTop w:val="0"/>
      <w:marBottom w:val="0"/>
      <w:divBdr>
        <w:top w:val="none" w:sz="0" w:space="0" w:color="auto"/>
        <w:left w:val="none" w:sz="0" w:space="0" w:color="auto"/>
        <w:bottom w:val="none" w:sz="0" w:space="0" w:color="auto"/>
        <w:right w:val="none" w:sz="0" w:space="0" w:color="auto"/>
      </w:divBdr>
    </w:div>
    <w:div w:id="1873154753">
      <w:bodyDiv w:val="1"/>
      <w:marLeft w:val="0"/>
      <w:marRight w:val="0"/>
      <w:marTop w:val="0"/>
      <w:marBottom w:val="0"/>
      <w:divBdr>
        <w:top w:val="none" w:sz="0" w:space="0" w:color="auto"/>
        <w:left w:val="none" w:sz="0" w:space="0" w:color="auto"/>
        <w:bottom w:val="none" w:sz="0" w:space="0" w:color="auto"/>
        <w:right w:val="none" w:sz="0" w:space="0" w:color="auto"/>
      </w:divBdr>
      <w:divsChild>
        <w:div w:id="332269017">
          <w:marLeft w:val="1354"/>
          <w:marRight w:val="0"/>
          <w:marTop w:val="96"/>
          <w:marBottom w:val="0"/>
          <w:divBdr>
            <w:top w:val="none" w:sz="0" w:space="0" w:color="auto"/>
            <w:left w:val="none" w:sz="0" w:space="0" w:color="auto"/>
            <w:bottom w:val="none" w:sz="0" w:space="0" w:color="auto"/>
            <w:right w:val="none" w:sz="0" w:space="0" w:color="auto"/>
          </w:divBdr>
        </w:div>
        <w:div w:id="567693596">
          <w:marLeft w:val="720"/>
          <w:marRight w:val="0"/>
          <w:marTop w:val="115"/>
          <w:marBottom w:val="0"/>
          <w:divBdr>
            <w:top w:val="none" w:sz="0" w:space="0" w:color="auto"/>
            <w:left w:val="none" w:sz="0" w:space="0" w:color="auto"/>
            <w:bottom w:val="none" w:sz="0" w:space="0" w:color="auto"/>
            <w:right w:val="none" w:sz="0" w:space="0" w:color="auto"/>
          </w:divBdr>
        </w:div>
        <w:div w:id="1007560036">
          <w:marLeft w:val="720"/>
          <w:marRight w:val="0"/>
          <w:marTop w:val="115"/>
          <w:marBottom w:val="0"/>
          <w:divBdr>
            <w:top w:val="none" w:sz="0" w:space="0" w:color="auto"/>
            <w:left w:val="none" w:sz="0" w:space="0" w:color="auto"/>
            <w:bottom w:val="none" w:sz="0" w:space="0" w:color="auto"/>
            <w:right w:val="none" w:sz="0" w:space="0" w:color="auto"/>
          </w:divBdr>
        </w:div>
        <w:div w:id="1317027464">
          <w:marLeft w:val="720"/>
          <w:marRight w:val="0"/>
          <w:marTop w:val="115"/>
          <w:marBottom w:val="0"/>
          <w:divBdr>
            <w:top w:val="none" w:sz="0" w:space="0" w:color="auto"/>
            <w:left w:val="none" w:sz="0" w:space="0" w:color="auto"/>
            <w:bottom w:val="none" w:sz="0" w:space="0" w:color="auto"/>
            <w:right w:val="none" w:sz="0" w:space="0" w:color="auto"/>
          </w:divBdr>
        </w:div>
        <w:div w:id="1526864984">
          <w:marLeft w:val="1354"/>
          <w:marRight w:val="0"/>
          <w:marTop w:val="96"/>
          <w:marBottom w:val="0"/>
          <w:divBdr>
            <w:top w:val="none" w:sz="0" w:space="0" w:color="auto"/>
            <w:left w:val="none" w:sz="0" w:space="0" w:color="auto"/>
            <w:bottom w:val="none" w:sz="0" w:space="0" w:color="auto"/>
            <w:right w:val="none" w:sz="0" w:space="0" w:color="auto"/>
          </w:divBdr>
        </w:div>
      </w:divsChild>
    </w:div>
    <w:div w:id="1885022833">
      <w:bodyDiv w:val="1"/>
      <w:marLeft w:val="0"/>
      <w:marRight w:val="0"/>
      <w:marTop w:val="0"/>
      <w:marBottom w:val="0"/>
      <w:divBdr>
        <w:top w:val="none" w:sz="0" w:space="0" w:color="auto"/>
        <w:left w:val="none" w:sz="0" w:space="0" w:color="auto"/>
        <w:bottom w:val="none" w:sz="0" w:space="0" w:color="auto"/>
        <w:right w:val="none" w:sz="0" w:space="0" w:color="auto"/>
      </w:divBdr>
    </w:div>
    <w:div w:id="1996639465">
      <w:bodyDiv w:val="1"/>
      <w:marLeft w:val="0"/>
      <w:marRight w:val="0"/>
      <w:marTop w:val="0"/>
      <w:marBottom w:val="0"/>
      <w:divBdr>
        <w:top w:val="none" w:sz="0" w:space="0" w:color="auto"/>
        <w:left w:val="none" w:sz="0" w:space="0" w:color="auto"/>
        <w:bottom w:val="none" w:sz="0" w:space="0" w:color="auto"/>
        <w:right w:val="none" w:sz="0" w:space="0" w:color="auto"/>
      </w:divBdr>
    </w:div>
    <w:div w:id="2009671521">
      <w:bodyDiv w:val="1"/>
      <w:marLeft w:val="0"/>
      <w:marRight w:val="0"/>
      <w:marTop w:val="0"/>
      <w:marBottom w:val="0"/>
      <w:divBdr>
        <w:top w:val="none" w:sz="0" w:space="0" w:color="auto"/>
        <w:left w:val="none" w:sz="0" w:space="0" w:color="auto"/>
        <w:bottom w:val="none" w:sz="0" w:space="0" w:color="auto"/>
        <w:right w:val="none" w:sz="0" w:space="0" w:color="auto"/>
      </w:divBdr>
      <w:divsChild>
        <w:div w:id="340402387">
          <w:marLeft w:val="1166"/>
          <w:marRight w:val="0"/>
          <w:marTop w:val="115"/>
          <w:marBottom w:val="0"/>
          <w:divBdr>
            <w:top w:val="none" w:sz="0" w:space="0" w:color="auto"/>
            <w:left w:val="none" w:sz="0" w:space="0" w:color="auto"/>
            <w:bottom w:val="none" w:sz="0" w:space="0" w:color="auto"/>
            <w:right w:val="none" w:sz="0" w:space="0" w:color="auto"/>
          </w:divBdr>
        </w:div>
        <w:div w:id="747309697">
          <w:marLeft w:val="1166"/>
          <w:marRight w:val="0"/>
          <w:marTop w:val="115"/>
          <w:marBottom w:val="0"/>
          <w:divBdr>
            <w:top w:val="none" w:sz="0" w:space="0" w:color="auto"/>
            <w:left w:val="none" w:sz="0" w:space="0" w:color="auto"/>
            <w:bottom w:val="none" w:sz="0" w:space="0" w:color="auto"/>
            <w:right w:val="none" w:sz="0" w:space="0" w:color="auto"/>
          </w:divBdr>
        </w:div>
        <w:div w:id="917396654">
          <w:marLeft w:val="547"/>
          <w:marRight w:val="0"/>
          <w:marTop w:val="134"/>
          <w:marBottom w:val="0"/>
          <w:divBdr>
            <w:top w:val="none" w:sz="0" w:space="0" w:color="auto"/>
            <w:left w:val="none" w:sz="0" w:space="0" w:color="auto"/>
            <w:bottom w:val="none" w:sz="0" w:space="0" w:color="auto"/>
            <w:right w:val="none" w:sz="0" w:space="0" w:color="auto"/>
          </w:divBdr>
        </w:div>
        <w:div w:id="1201239335">
          <w:marLeft w:val="547"/>
          <w:marRight w:val="0"/>
          <w:marTop w:val="134"/>
          <w:marBottom w:val="0"/>
          <w:divBdr>
            <w:top w:val="none" w:sz="0" w:space="0" w:color="auto"/>
            <w:left w:val="none" w:sz="0" w:space="0" w:color="auto"/>
            <w:bottom w:val="none" w:sz="0" w:space="0" w:color="auto"/>
            <w:right w:val="none" w:sz="0" w:space="0" w:color="auto"/>
          </w:divBdr>
        </w:div>
      </w:divsChild>
    </w:div>
    <w:div w:id="2072848757">
      <w:bodyDiv w:val="1"/>
      <w:marLeft w:val="0"/>
      <w:marRight w:val="0"/>
      <w:marTop w:val="0"/>
      <w:marBottom w:val="0"/>
      <w:divBdr>
        <w:top w:val="none" w:sz="0" w:space="0" w:color="auto"/>
        <w:left w:val="none" w:sz="0" w:space="0" w:color="auto"/>
        <w:bottom w:val="none" w:sz="0" w:space="0" w:color="auto"/>
        <w:right w:val="none" w:sz="0" w:space="0" w:color="auto"/>
      </w:divBdr>
    </w:div>
    <w:div w:id="210692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6759386.DOCOMO\My%20Documents(alternative)\secret%20box\templa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DF08C072-3EEB-430B-B79A-2EA81F3D8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891</Words>
  <Characters>5079</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tdoc template</vt:lpstr>
      <vt:lpstr>tdoc template</vt:lpstr>
    </vt:vector>
  </TitlesOfParts>
  <Company>Nokia Networks</Company>
  <LinksUpToDate>false</LinksUpToDate>
  <CharactersWithSpaces>5959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Jun Tan</dc:creator>
  <cp:lastModifiedBy>Jun Tan</cp:lastModifiedBy>
  <cp:revision>12</cp:revision>
  <cp:lastPrinted>2001-04-23T16:30:00Z</cp:lastPrinted>
  <dcterms:created xsi:type="dcterms:W3CDTF">2015-08-04T18:25:00Z</dcterms:created>
  <dcterms:modified xsi:type="dcterms:W3CDTF">2015-08-13T19:23:00Z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